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9DE15" w14:textId="77777777" w:rsidR="007D3700" w:rsidRDefault="007D3700" w:rsidP="00EC4830">
      <w:pPr>
        <w:widowControl w:val="0"/>
        <w:rPr>
          <w:rFonts w:ascii="Times New Roman" w:hAnsi="Times New Roman" w:cs="Times New Roman"/>
        </w:rPr>
      </w:pPr>
    </w:p>
    <w:p w14:paraId="7CB9A29E"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01FCB" w:rsidRPr="00AC5211">
        <w:rPr>
          <w:rFonts w:ascii="Times New Roman" w:hAnsi="Times New Roman" w:cs="Times New Roman"/>
          <w:noProof/>
        </w:rPr>
        <w:drawing>
          <wp:inline distT="0" distB="0" distL="0" distR="0" wp14:anchorId="455787FA" wp14:editId="4A0857FD">
            <wp:extent cx="2181225"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14:paraId="78A0832D"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0D5583F"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53A74F50" w14:textId="77777777" w:rsidR="00D07095" w:rsidRPr="00402C3E" w:rsidRDefault="00D07095" w:rsidP="004005B5">
      <w:pPr>
        <w:widowControl w:val="0"/>
        <w:tabs>
          <w:tab w:val="left" w:pos="0"/>
        </w:tabs>
        <w:rPr>
          <w:rFonts w:ascii="Times New Roman" w:hAnsi="Times New Roman" w:cs="Times New Roman"/>
          <w:b/>
          <w:bCs/>
        </w:rPr>
      </w:pPr>
    </w:p>
    <w:p w14:paraId="549A9584" w14:textId="77777777" w:rsidR="00D07095" w:rsidRPr="00402C3E" w:rsidRDefault="00D07095" w:rsidP="004005B5">
      <w:pPr>
        <w:widowControl w:val="0"/>
        <w:tabs>
          <w:tab w:val="left" w:pos="0"/>
        </w:tabs>
        <w:rPr>
          <w:rFonts w:ascii="Times New Roman" w:hAnsi="Times New Roman" w:cs="Times New Roman"/>
          <w:b/>
          <w:bCs/>
        </w:rPr>
      </w:pPr>
    </w:p>
    <w:p w14:paraId="4966C08B" w14:textId="77777777" w:rsidR="00D07095" w:rsidRPr="005C4C67" w:rsidRDefault="00A14EFC" w:rsidP="004005B5">
      <w:pPr>
        <w:pStyle w:val="Heading"/>
        <w:tabs>
          <w:tab w:val="left" w:pos="0"/>
        </w:tabs>
        <w:spacing w:before="0" w:after="0"/>
        <w:ind w:firstLine="1"/>
        <w:rPr>
          <w:szCs w:val="22"/>
        </w:rPr>
      </w:pPr>
      <w:r w:rsidRPr="005C4C67">
        <w:rPr>
          <w:szCs w:val="22"/>
        </w:rPr>
        <w:t>FAC</w:t>
      </w:r>
      <w:r w:rsidR="0043375A" w:rsidRPr="005C4C67">
        <w:rPr>
          <w:szCs w:val="22"/>
        </w:rPr>
        <w:t>-0</w:t>
      </w:r>
      <w:r w:rsidR="008E44BA" w:rsidRPr="005C4C67">
        <w:rPr>
          <w:szCs w:val="22"/>
        </w:rPr>
        <w:t>13</w:t>
      </w:r>
      <w:r w:rsidR="0043375A" w:rsidRPr="005C4C67">
        <w:rPr>
          <w:szCs w:val="22"/>
        </w:rPr>
        <w:t>-</w:t>
      </w:r>
      <w:r w:rsidR="008E44BA" w:rsidRPr="005C4C67">
        <w:rPr>
          <w:szCs w:val="22"/>
        </w:rPr>
        <w:t>2</w:t>
      </w:r>
      <w:r w:rsidR="0043375A" w:rsidRPr="005C4C67">
        <w:rPr>
          <w:szCs w:val="22"/>
        </w:rPr>
        <w:t xml:space="preserve"> – </w:t>
      </w:r>
      <w:r w:rsidR="008E44BA" w:rsidRPr="005C4C67">
        <w:rPr>
          <w:szCs w:val="22"/>
        </w:rPr>
        <w:t xml:space="preserve">Assessment of Transfer Capability for the Near-Term Transmission Planning Horizon </w:t>
      </w:r>
    </w:p>
    <w:p w14:paraId="05F57B4D" w14:textId="77777777" w:rsidR="00D07095" w:rsidRPr="00402C3E" w:rsidRDefault="00D07095" w:rsidP="004005B5">
      <w:pPr>
        <w:widowControl w:val="0"/>
        <w:tabs>
          <w:tab w:val="left" w:pos="0"/>
        </w:tabs>
        <w:jc w:val="center"/>
        <w:rPr>
          <w:rFonts w:ascii="Times New Roman" w:hAnsi="Times New Roman" w:cs="Times New Roman"/>
        </w:rPr>
      </w:pPr>
    </w:p>
    <w:p w14:paraId="3587F48B" w14:textId="77777777" w:rsidR="004005B5" w:rsidRPr="00BA39D3" w:rsidRDefault="004005B5" w:rsidP="004005B5">
      <w:pPr>
        <w:tabs>
          <w:tab w:val="left" w:pos="0"/>
          <w:tab w:val="left" w:pos="1080"/>
        </w:tabs>
        <w:rPr>
          <w:rFonts w:ascii="Calibri" w:hAnsi="Calibri"/>
          <w:b/>
          <w:i/>
          <w:color w:val="FF0000"/>
        </w:rPr>
      </w:pPr>
      <w:r w:rsidRPr="00BA39D3">
        <w:rPr>
          <w:rFonts w:ascii="Calibri" w:hAnsi="Calibri"/>
          <w:b/>
          <w:i/>
          <w:color w:val="FF0000"/>
        </w:rPr>
        <w:t>This section must be completed by the Compliance Enforcement Authority.</w:t>
      </w:r>
      <w:r w:rsidR="000849DD" w:rsidRPr="00BA39D3">
        <w:rPr>
          <w:rFonts w:ascii="Calibri" w:hAnsi="Calibri"/>
          <w:b/>
          <w:i/>
          <w:color w:val="FF0000"/>
        </w:rPr>
        <w:t xml:space="preserve">    </w:t>
      </w:r>
    </w:p>
    <w:p w14:paraId="3BBD3B7C" w14:textId="77777777" w:rsidR="001902FB" w:rsidRPr="00402C3E" w:rsidRDefault="001902FB" w:rsidP="004005B5">
      <w:pPr>
        <w:widowControl w:val="0"/>
        <w:tabs>
          <w:tab w:val="left" w:pos="0"/>
        </w:tabs>
        <w:rPr>
          <w:rFonts w:ascii="Tahoma" w:hAnsi="Tahoma" w:cs="Tahoma"/>
          <w:b/>
          <w:bCs/>
          <w:sz w:val="22"/>
          <w:szCs w:val="22"/>
        </w:rPr>
      </w:pPr>
    </w:p>
    <w:p w14:paraId="659FC65B" w14:textId="77777777" w:rsidR="00D07095" w:rsidRPr="007E3754" w:rsidRDefault="00A30A2F" w:rsidP="004005B5">
      <w:pPr>
        <w:widowControl w:val="0"/>
        <w:tabs>
          <w:tab w:val="left" w:pos="0"/>
        </w:tabs>
        <w:rPr>
          <w:rFonts w:ascii="Calibri" w:hAnsi="Calibri" w:cs="Times New Roman"/>
          <w:i/>
          <w:iCs/>
          <w:color w:val="auto"/>
        </w:rPr>
      </w:pPr>
      <w:r w:rsidRPr="007E3754">
        <w:rPr>
          <w:rFonts w:ascii="Calibri" w:hAnsi="Calibri" w:cs="Tahoma"/>
          <w:b/>
          <w:bCs/>
          <w:color w:val="auto"/>
        </w:rPr>
        <w:t>Registered Entity:</w:t>
      </w:r>
      <w:r w:rsidRPr="007E3754">
        <w:rPr>
          <w:rFonts w:ascii="Calibri" w:hAnsi="Calibri" w:cs="Times New Roman"/>
          <w:b/>
          <w:bCs/>
          <w:color w:val="auto"/>
        </w:rPr>
        <w:t xml:space="preserve"> </w:t>
      </w:r>
    </w:p>
    <w:p w14:paraId="3D8987BF" w14:textId="77777777" w:rsidR="00D07095" w:rsidRPr="007E3754" w:rsidRDefault="00A30A2F" w:rsidP="004005B5">
      <w:pPr>
        <w:widowControl w:val="0"/>
        <w:tabs>
          <w:tab w:val="left" w:pos="0"/>
        </w:tabs>
        <w:rPr>
          <w:rFonts w:ascii="Calibri" w:hAnsi="Calibri" w:cs="Times New Roman"/>
          <w:i/>
          <w:iCs/>
          <w:color w:val="auto"/>
        </w:rPr>
      </w:pPr>
      <w:r w:rsidRPr="007E3754">
        <w:rPr>
          <w:rFonts w:ascii="Calibri" w:hAnsi="Calibri" w:cs="Tahoma"/>
          <w:b/>
          <w:bCs/>
          <w:color w:val="auto"/>
        </w:rPr>
        <w:t>NCR Number:</w:t>
      </w:r>
      <w:r w:rsidR="007E3754" w:rsidRPr="007E3754">
        <w:rPr>
          <w:rFonts w:ascii="Calibri" w:hAnsi="Calibri" w:cs="Times New Roman"/>
          <w:b/>
          <w:bCs/>
          <w:color w:val="auto"/>
        </w:rPr>
        <w:t xml:space="preserve">  </w:t>
      </w:r>
    </w:p>
    <w:p w14:paraId="6029796F" w14:textId="77777777" w:rsidR="00D07095" w:rsidRPr="001A3811" w:rsidRDefault="00A30A2F" w:rsidP="004005B5">
      <w:pPr>
        <w:widowControl w:val="0"/>
        <w:tabs>
          <w:tab w:val="left" w:pos="0"/>
          <w:tab w:val="left" w:pos="3720"/>
        </w:tabs>
        <w:rPr>
          <w:rFonts w:ascii="Calibri" w:hAnsi="Calibri" w:cs="Times New Roman"/>
          <w:b/>
          <w:bCs/>
        </w:rPr>
      </w:pPr>
      <w:r w:rsidRPr="001A3811">
        <w:rPr>
          <w:rFonts w:ascii="Calibri" w:hAnsi="Calibri" w:cs="Tahoma"/>
          <w:b/>
          <w:bCs/>
        </w:rPr>
        <w:t>Applicable Function(s):</w:t>
      </w:r>
      <w:r w:rsidR="00E97917">
        <w:rPr>
          <w:rFonts w:ascii="Calibri" w:hAnsi="Calibri" w:cs="Times New Roman"/>
          <w:bCs/>
        </w:rPr>
        <w:t xml:space="preserve"> P</w:t>
      </w:r>
      <w:r w:rsidR="008E44BA">
        <w:rPr>
          <w:rFonts w:ascii="Calibri" w:hAnsi="Calibri" w:cs="Times New Roman"/>
          <w:bCs/>
        </w:rPr>
        <w:t>C</w:t>
      </w:r>
    </w:p>
    <w:p w14:paraId="3224895E" w14:textId="77777777" w:rsidR="000E3AAA" w:rsidRDefault="00980EB5" w:rsidP="00293D2F">
      <w:pPr>
        <w:widowControl w:val="0"/>
        <w:tabs>
          <w:tab w:val="left" w:pos="0"/>
        </w:tabs>
        <w:rPr>
          <w:rFonts w:ascii="Calibri" w:hAnsi="Calibri" w:cs="Times New Roman"/>
          <w:b/>
          <w:bCs/>
        </w:rPr>
      </w:pPr>
      <w:r w:rsidRPr="001A3811">
        <w:rPr>
          <w:rFonts w:ascii="Calibri" w:hAnsi="Calibri" w:cs="Times New Roman"/>
          <w:b/>
        </w:rPr>
        <w:tab/>
      </w:r>
      <w:r w:rsidRPr="001A3811">
        <w:rPr>
          <w:rFonts w:ascii="Calibri" w:hAnsi="Calibri" w:cs="Times New Roman"/>
          <w:b/>
          <w:bCs/>
        </w:rPr>
        <w:tab/>
      </w:r>
      <w:r w:rsidR="00766EFB" w:rsidRPr="001A3811">
        <w:rPr>
          <w:rFonts w:ascii="Calibri" w:hAnsi="Calibri" w:cs="Times New Roman"/>
          <w:b/>
          <w:bCs/>
        </w:rPr>
        <w:tab/>
      </w:r>
      <w:r w:rsidR="00766EFB" w:rsidRPr="001A3811">
        <w:rPr>
          <w:rFonts w:ascii="Calibri" w:hAnsi="Calibri" w:cs="Times New Roman"/>
          <w:b/>
          <w:bCs/>
        </w:rPr>
        <w:tab/>
      </w:r>
      <w:r w:rsidR="000E3AAA">
        <w:rPr>
          <w:rFonts w:ascii="Calibri" w:hAnsi="Calibri" w:cs="Times New Roman"/>
          <w:b/>
          <w:bCs/>
        </w:rPr>
        <w:t>Compliance Assessment Date:</w:t>
      </w:r>
    </w:p>
    <w:p w14:paraId="3EB6A028" w14:textId="77777777" w:rsidR="00D33FAE" w:rsidRDefault="00D33FAE" w:rsidP="00293D2F">
      <w:pPr>
        <w:widowControl w:val="0"/>
        <w:tabs>
          <w:tab w:val="left" w:pos="0"/>
        </w:tabs>
        <w:rPr>
          <w:rFonts w:ascii="Calibri" w:hAnsi="Calibri" w:cs="Times New Roman"/>
          <w:b/>
          <w:bCs/>
        </w:rPr>
      </w:pPr>
      <w:r>
        <w:rPr>
          <w:rFonts w:ascii="Calibri" w:hAnsi="Calibri" w:cs="Times New Roman"/>
          <w:b/>
          <w:bCs/>
        </w:rPr>
        <w:t xml:space="preserve">Compliance Monitoring Method: </w:t>
      </w:r>
    </w:p>
    <w:p w14:paraId="7F2B0388" w14:textId="77777777" w:rsidR="00D07095" w:rsidRPr="001A3811" w:rsidRDefault="00297D67" w:rsidP="00293D2F">
      <w:pPr>
        <w:widowControl w:val="0"/>
        <w:tabs>
          <w:tab w:val="left" w:pos="0"/>
        </w:tabs>
        <w:rPr>
          <w:rFonts w:ascii="Calibri" w:hAnsi="Calibri"/>
          <w:b/>
          <w:bCs/>
        </w:rPr>
      </w:pPr>
      <w:r w:rsidRPr="001A3811">
        <w:rPr>
          <w:rFonts w:ascii="Calibri" w:hAnsi="Calibri" w:cs="Tahoma"/>
          <w:b/>
          <w:bCs/>
        </w:rPr>
        <w:t>Names of A</w:t>
      </w:r>
      <w:r w:rsidR="00F56C05" w:rsidRPr="001A3811">
        <w:rPr>
          <w:rFonts w:ascii="Calibri" w:hAnsi="Calibri" w:cs="Tahoma"/>
          <w:b/>
          <w:bCs/>
        </w:rPr>
        <w:t>uditors:</w:t>
      </w:r>
      <w:r w:rsidR="00F56C05" w:rsidRPr="001A3811">
        <w:rPr>
          <w:rFonts w:ascii="Calibri" w:hAnsi="Calibri" w:cs="Tahoma"/>
          <w:b/>
          <w:bCs/>
        </w:rPr>
        <w:tab/>
      </w:r>
    </w:p>
    <w:p w14:paraId="303372EA" w14:textId="77777777" w:rsidR="00C01958" w:rsidRDefault="00C01958" w:rsidP="00EC4830">
      <w:pPr>
        <w:widowControl w:val="0"/>
        <w:rPr>
          <w:rFonts w:ascii="Times New Roman" w:hAnsi="Times New Roman" w:cs="Times New Roman"/>
          <w:b/>
          <w:bCs/>
          <w:color w:val="003366"/>
          <w:sz w:val="32"/>
          <w:szCs w:val="32"/>
        </w:rPr>
      </w:pPr>
    </w:p>
    <w:p w14:paraId="40CC543F" w14:textId="77777777" w:rsidR="00C01958" w:rsidRDefault="00C01958" w:rsidP="00EC4830">
      <w:pPr>
        <w:widowControl w:val="0"/>
        <w:rPr>
          <w:rFonts w:ascii="Times New Roman" w:hAnsi="Times New Roman" w:cs="Times New Roman"/>
          <w:b/>
          <w:bCs/>
          <w:color w:val="003366"/>
          <w:sz w:val="32"/>
          <w:szCs w:val="32"/>
        </w:rPr>
      </w:pPr>
    </w:p>
    <w:p w14:paraId="79C8DB89" w14:textId="77777777" w:rsidR="00C01958" w:rsidRDefault="00C01958" w:rsidP="00EC4830">
      <w:pPr>
        <w:widowControl w:val="0"/>
        <w:rPr>
          <w:rFonts w:ascii="Times New Roman" w:hAnsi="Times New Roman" w:cs="Times New Roman"/>
          <w:b/>
          <w:bCs/>
          <w:color w:val="003366"/>
          <w:sz w:val="32"/>
          <w:szCs w:val="32"/>
        </w:rPr>
      </w:pPr>
    </w:p>
    <w:p w14:paraId="299B1121" w14:textId="77777777" w:rsidR="00C01958" w:rsidRDefault="00C01958" w:rsidP="00EC4830">
      <w:pPr>
        <w:widowControl w:val="0"/>
        <w:rPr>
          <w:rFonts w:ascii="Times New Roman" w:hAnsi="Times New Roman" w:cs="Times New Roman"/>
          <w:b/>
          <w:bCs/>
          <w:color w:val="003366"/>
          <w:sz w:val="32"/>
          <w:szCs w:val="32"/>
        </w:rPr>
      </w:pPr>
    </w:p>
    <w:p w14:paraId="3CECEA4B" w14:textId="77777777" w:rsidR="00C01958" w:rsidRDefault="00C01958" w:rsidP="00EC4830">
      <w:pPr>
        <w:widowControl w:val="0"/>
        <w:rPr>
          <w:rFonts w:ascii="Times New Roman" w:hAnsi="Times New Roman" w:cs="Times New Roman"/>
          <w:b/>
          <w:bCs/>
          <w:color w:val="003366"/>
          <w:sz w:val="32"/>
          <w:szCs w:val="32"/>
        </w:rPr>
      </w:pPr>
    </w:p>
    <w:p w14:paraId="67E507C6" w14:textId="77777777" w:rsidR="0086378C" w:rsidRDefault="00F762B6" w:rsidP="00EC4830">
      <w:pPr>
        <w:autoSpaceDE/>
        <w:autoSpaceDN/>
        <w:adjustRightInd/>
        <w:rPr>
          <w:rFonts w:ascii="Times New Roman" w:hAnsi="Times New Roman" w:cs="Times New Roman"/>
          <w:b/>
          <w:bCs/>
          <w:color w:val="003366"/>
          <w:sz w:val="32"/>
          <w:szCs w:val="32"/>
        </w:rPr>
      </w:pPr>
      <w:r>
        <w:rPr>
          <w:rFonts w:ascii="Times New Roman" w:hAnsi="Times New Roman" w:cs="Times New Roman"/>
          <w:b/>
          <w:bCs/>
          <w:color w:val="003366"/>
          <w:sz w:val="32"/>
          <w:szCs w:val="32"/>
        </w:rPr>
        <w:br w:type="page"/>
      </w:r>
    </w:p>
    <w:p w14:paraId="5868308A" w14:textId="77777777" w:rsidR="0039464A" w:rsidRPr="00501FCB" w:rsidRDefault="0039464A" w:rsidP="0093048F">
      <w:pPr>
        <w:pStyle w:val="Heading1"/>
        <w:rPr>
          <w:rFonts w:ascii="Calibri" w:hAnsi="Calibri"/>
          <w:b/>
          <w:color w:val="auto"/>
          <w:sz w:val="24"/>
          <w:szCs w:val="24"/>
          <w:u w:val="single"/>
        </w:rPr>
      </w:pPr>
      <w:bookmarkStart w:id="0" w:name="_Toc330463552"/>
      <w:r w:rsidRPr="00501FCB">
        <w:rPr>
          <w:rFonts w:ascii="Calibri" w:hAnsi="Calibri"/>
          <w:b/>
          <w:color w:val="auto"/>
          <w:sz w:val="24"/>
          <w:szCs w:val="24"/>
          <w:u w:val="single"/>
        </w:rPr>
        <w:lastRenderedPageBreak/>
        <w:t>Subject Matter Experts</w:t>
      </w:r>
      <w:bookmarkEnd w:id="0"/>
    </w:p>
    <w:p w14:paraId="301AF068" w14:textId="77777777" w:rsidR="0039464A" w:rsidRPr="006C43BC" w:rsidRDefault="0039464A" w:rsidP="00EC4830">
      <w:pPr>
        <w:widowControl w:val="0"/>
        <w:rPr>
          <w:rFonts w:ascii="Calibri" w:hAnsi="Calibri" w:cs="Times New Roman"/>
        </w:rPr>
      </w:pPr>
      <w:r w:rsidRPr="006C43BC">
        <w:rPr>
          <w:rFonts w:ascii="Calibri" w:hAnsi="Calibri" w:cs="Times New Roman"/>
        </w:rPr>
        <w:t xml:space="preserve">Identify </w:t>
      </w:r>
      <w:r w:rsidR="00F36A82" w:rsidRPr="006C43BC">
        <w:rPr>
          <w:rFonts w:ascii="Calibri" w:hAnsi="Calibri" w:cs="Times New Roman"/>
        </w:rPr>
        <w:t>S</w:t>
      </w:r>
      <w:r w:rsidRPr="006C43BC">
        <w:rPr>
          <w:rFonts w:ascii="Calibri" w:hAnsi="Calibri" w:cs="Times New Roman"/>
        </w:rPr>
        <w:t xml:space="preserve">ubject </w:t>
      </w:r>
      <w:r w:rsidR="00F36A82" w:rsidRPr="006C43BC">
        <w:rPr>
          <w:rFonts w:ascii="Calibri" w:hAnsi="Calibri" w:cs="Times New Roman"/>
        </w:rPr>
        <w:t>M</w:t>
      </w:r>
      <w:r w:rsidRPr="006C43BC">
        <w:rPr>
          <w:rFonts w:ascii="Calibri" w:hAnsi="Calibri" w:cs="Times New Roman"/>
        </w:rPr>
        <w:t xml:space="preserve">atter </w:t>
      </w:r>
      <w:r w:rsidR="00F36A82" w:rsidRPr="006C43BC">
        <w:rPr>
          <w:rFonts w:ascii="Calibri" w:hAnsi="Calibri" w:cs="Times New Roman"/>
        </w:rPr>
        <w:t>E</w:t>
      </w:r>
      <w:r w:rsidRPr="006C43BC">
        <w:rPr>
          <w:rFonts w:ascii="Calibri" w:hAnsi="Calibri" w:cs="Times New Roman"/>
        </w:rPr>
        <w:t>xpert(s) responsible for this Reliabilit</w:t>
      </w:r>
      <w:r w:rsidR="00EC4830" w:rsidRPr="006C43BC">
        <w:rPr>
          <w:rFonts w:ascii="Calibri" w:hAnsi="Calibri" w:cs="Times New Roman"/>
        </w:rPr>
        <w:t>y Standard.</w:t>
      </w:r>
      <w:r w:rsidR="001D4564" w:rsidRPr="006C43BC">
        <w:rPr>
          <w:rFonts w:ascii="Calibri" w:hAnsi="Calibri" w:cs="Times New Roman"/>
        </w:rPr>
        <w:t xml:space="preserve"> </w:t>
      </w:r>
      <w:r w:rsidR="00EC4830" w:rsidRPr="006C43BC">
        <w:rPr>
          <w:rFonts w:ascii="Calibri" w:hAnsi="Calibri" w:cs="Times New Roman"/>
        </w:rPr>
        <w:t xml:space="preserve"> </w:t>
      </w:r>
      <w:r w:rsidR="008C17EB" w:rsidRPr="006C43BC">
        <w:rPr>
          <w:rFonts w:ascii="Calibri" w:hAnsi="Calibri" w:cs="Times New Roman"/>
        </w:rPr>
        <w:t>(</w:t>
      </w:r>
      <w:r w:rsidRPr="006C43BC">
        <w:rPr>
          <w:rFonts w:ascii="Calibri" w:hAnsi="Calibri" w:cs="Times New Roman"/>
        </w:rPr>
        <w:t xml:space="preserve">Insert additional </w:t>
      </w:r>
      <w:r w:rsidR="008C17EB" w:rsidRPr="006C43BC">
        <w:rPr>
          <w:rFonts w:ascii="Calibri" w:hAnsi="Calibri" w:cs="Times New Roman"/>
        </w:rPr>
        <w:t>rows</w:t>
      </w:r>
      <w:r w:rsidRPr="006C43BC">
        <w:rPr>
          <w:rFonts w:ascii="Calibri" w:hAnsi="Calibri" w:cs="Times New Roman"/>
        </w:rPr>
        <w:t xml:space="preserve"> if necessary</w:t>
      </w:r>
      <w:r w:rsidR="008C17EB" w:rsidRPr="006C43BC">
        <w:rPr>
          <w:rFonts w:ascii="Calibri" w:hAnsi="Calibri" w:cs="Times New Roman"/>
        </w:rPr>
        <w:t>)</w:t>
      </w:r>
    </w:p>
    <w:p w14:paraId="14858A32" w14:textId="77777777" w:rsidR="005712B4" w:rsidRPr="006C43BC" w:rsidRDefault="005712B4" w:rsidP="00EC4830">
      <w:pPr>
        <w:widowControl w:val="0"/>
        <w:rPr>
          <w:rFonts w:ascii="Calibri" w:hAnsi="Calibri" w:cs="Times New Roman"/>
          <w:b/>
          <w:bCs/>
        </w:rPr>
      </w:pPr>
    </w:p>
    <w:p w14:paraId="62134D6B" w14:textId="77777777" w:rsidR="0039464A" w:rsidRPr="006C43BC" w:rsidRDefault="0039464A" w:rsidP="00EC4830">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679"/>
        <w:gridCol w:w="2709"/>
        <w:gridCol w:w="2719"/>
      </w:tblGrid>
      <w:tr w:rsidR="008E44BA" w:rsidRPr="006C43BC" w14:paraId="5F000278" w14:textId="77777777" w:rsidTr="00A14EFC">
        <w:tc>
          <w:tcPr>
            <w:tcW w:w="2754" w:type="dxa"/>
            <w:shd w:val="clear" w:color="auto" w:fill="DBE5F1"/>
          </w:tcPr>
          <w:p w14:paraId="198DF6FD" w14:textId="77777777" w:rsidR="00DB2DD8" w:rsidRPr="00A14EFC" w:rsidRDefault="00DB2DD8" w:rsidP="00A14EFC">
            <w:pPr>
              <w:widowControl w:val="0"/>
              <w:jc w:val="center"/>
              <w:rPr>
                <w:rFonts w:ascii="Calibri" w:hAnsi="Calibri" w:cs="Times New Roman"/>
                <w:b/>
                <w:bCs/>
                <w:color w:val="auto"/>
              </w:rPr>
            </w:pPr>
            <w:r w:rsidRPr="00A14EFC">
              <w:rPr>
                <w:rFonts w:ascii="Calibri" w:hAnsi="Calibri" w:cs="Times New Roman"/>
                <w:b/>
                <w:bCs/>
                <w:color w:val="auto"/>
              </w:rPr>
              <w:t>SME Name</w:t>
            </w:r>
          </w:p>
        </w:tc>
        <w:tc>
          <w:tcPr>
            <w:tcW w:w="2754" w:type="dxa"/>
            <w:shd w:val="clear" w:color="auto" w:fill="DBE5F1"/>
          </w:tcPr>
          <w:p w14:paraId="7648F7B6" w14:textId="77777777" w:rsidR="00DB2DD8" w:rsidRPr="00A14EFC" w:rsidRDefault="00DB2DD8" w:rsidP="00A14EFC">
            <w:pPr>
              <w:widowControl w:val="0"/>
              <w:jc w:val="center"/>
              <w:rPr>
                <w:rFonts w:ascii="Calibri" w:hAnsi="Calibri" w:cs="Times New Roman"/>
                <w:b/>
                <w:bCs/>
                <w:color w:val="auto"/>
              </w:rPr>
            </w:pPr>
            <w:r w:rsidRPr="00A14EFC">
              <w:rPr>
                <w:rFonts w:ascii="Calibri" w:hAnsi="Calibri" w:cs="Times New Roman"/>
                <w:b/>
                <w:bCs/>
                <w:color w:val="auto"/>
              </w:rPr>
              <w:t>Title</w:t>
            </w:r>
          </w:p>
        </w:tc>
        <w:tc>
          <w:tcPr>
            <w:tcW w:w="2754" w:type="dxa"/>
            <w:shd w:val="clear" w:color="auto" w:fill="DBE5F1"/>
          </w:tcPr>
          <w:p w14:paraId="6853FCF9" w14:textId="77777777" w:rsidR="00DB2DD8" w:rsidRPr="00A14EFC" w:rsidRDefault="00DB2DD8" w:rsidP="00A14EFC">
            <w:pPr>
              <w:widowControl w:val="0"/>
              <w:jc w:val="center"/>
              <w:rPr>
                <w:rFonts w:ascii="Calibri" w:hAnsi="Calibri" w:cs="Times New Roman"/>
                <w:b/>
                <w:bCs/>
                <w:color w:val="auto"/>
              </w:rPr>
            </w:pPr>
            <w:r w:rsidRPr="00A14EFC">
              <w:rPr>
                <w:rFonts w:ascii="Calibri" w:hAnsi="Calibri" w:cs="Times New Roman"/>
                <w:b/>
                <w:bCs/>
                <w:color w:val="auto"/>
              </w:rPr>
              <w:t>Organization</w:t>
            </w:r>
          </w:p>
        </w:tc>
        <w:tc>
          <w:tcPr>
            <w:tcW w:w="2754" w:type="dxa"/>
            <w:shd w:val="clear" w:color="auto" w:fill="DBE5F1"/>
          </w:tcPr>
          <w:p w14:paraId="791CC009" w14:textId="77777777" w:rsidR="00DB2DD8" w:rsidRPr="00A14EFC" w:rsidRDefault="00DB2DD8" w:rsidP="00A14EFC">
            <w:pPr>
              <w:widowControl w:val="0"/>
              <w:jc w:val="center"/>
              <w:rPr>
                <w:rFonts w:ascii="Calibri" w:hAnsi="Calibri" w:cs="Times New Roman"/>
                <w:b/>
                <w:bCs/>
                <w:color w:val="auto"/>
              </w:rPr>
            </w:pPr>
            <w:r w:rsidRPr="00A14EFC">
              <w:rPr>
                <w:rFonts w:ascii="Calibri" w:hAnsi="Calibri" w:cs="Times New Roman"/>
                <w:b/>
                <w:bCs/>
                <w:color w:val="auto"/>
              </w:rPr>
              <w:t>Requirement</w:t>
            </w:r>
            <w:r w:rsidR="002E11CD" w:rsidRPr="00A14EFC">
              <w:rPr>
                <w:rFonts w:ascii="Calibri" w:hAnsi="Calibri" w:cs="Times New Roman"/>
                <w:b/>
                <w:bCs/>
                <w:color w:val="auto"/>
              </w:rPr>
              <w:t>(s)</w:t>
            </w:r>
          </w:p>
        </w:tc>
      </w:tr>
      <w:tr w:rsidR="00DB2DD8" w:rsidRPr="006C43BC" w14:paraId="19C429C0" w14:textId="77777777" w:rsidTr="00A14EFC">
        <w:tc>
          <w:tcPr>
            <w:tcW w:w="2754" w:type="dxa"/>
          </w:tcPr>
          <w:p w14:paraId="1E6B9056" w14:textId="77777777" w:rsidR="00DB2DD8" w:rsidRPr="00A14EFC" w:rsidRDefault="00DB2DD8" w:rsidP="00A14EFC">
            <w:pPr>
              <w:widowControl w:val="0"/>
              <w:rPr>
                <w:rFonts w:ascii="Calibri" w:hAnsi="Calibri" w:cs="Times New Roman"/>
                <w:bCs/>
                <w:color w:val="0070C0"/>
              </w:rPr>
            </w:pPr>
          </w:p>
        </w:tc>
        <w:tc>
          <w:tcPr>
            <w:tcW w:w="2754" w:type="dxa"/>
          </w:tcPr>
          <w:p w14:paraId="1F8CE572" w14:textId="77777777" w:rsidR="00DB2DD8" w:rsidRPr="00A14EFC" w:rsidRDefault="00DB2DD8" w:rsidP="00A14EFC">
            <w:pPr>
              <w:widowControl w:val="0"/>
              <w:rPr>
                <w:rFonts w:ascii="Calibri" w:hAnsi="Calibri" w:cs="Times New Roman"/>
                <w:bCs/>
                <w:color w:val="0070C0"/>
              </w:rPr>
            </w:pPr>
          </w:p>
        </w:tc>
        <w:tc>
          <w:tcPr>
            <w:tcW w:w="2754" w:type="dxa"/>
          </w:tcPr>
          <w:p w14:paraId="7B4B14B6" w14:textId="77777777" w:rsidR="00DB2DD8" w:rsidRPr="00A14EFC" w:rsidRDefault="00DB2DD8" w:rsidP="00A14EFC">
            <w:pPr>
              <w:widowControl w:val="0"/>
              <w:rPr>
                <w:rFonts w:ascii="Calibri" w:hAnsi="Calibri" w:cs="Times New Roman"/>
                <w:bCs/>
                <w:color w:val="0070C0"/>
              </w:rPr>
            </w:pPr>
          </w:p>
        </w:tc>
        <w:tc>
          <w:tcPr>
            <w:tcW w:w="2754" w:type="dxa"/>
          </w:tcPr>
          <w:p w14:paraId="0A668334" w14:textId="77777777" w:rsidR="00DB2DD8" w:rsidRPr="00A14EFC" w:rsidRDefault="00DB2DD8" w:rsidP="00A14EFC">
            <w:pPr>
              <w:widowControl w:val="0"/>
              <w:rPr>
                <w:rFonts w:ascii="Calibri" w:hAnsi="Calibri" w:cs="Times New Roman"/>
                <w:bCs/>
                <w:color w:val="0070C0"/>
              </w:rPr>
            </w:pPr>
          </w:p>
        </w:tc>
      </w:tr>
      <w:tr w:rsidR="00A07D34" w:rsidRPr="006C43BC" w14:paraId="081FDB95" w14:textId="77777777" w:rsidTr="00A14EFC">
        <w:tc>
          <w:tcPr>
            <w:tcW w:w="2754" w:type="dxa"/>
          </w:tcPr>
          <w:p w14:paraId="158265A6" w14:textId="77777777" w:rsidR="00A07D34" w:rsidRPr="00A14EFC" w:rsidRDefault="00A07D34" w:rsidP="00A14EFC">
            <w:pPr>
              <w:widowControl w:val="0"/>
              <w:rPr>
                <w:rFonts w:ascii="Calibri" w:hAnsi="Calibri" w:cs="Times New Roman"/>
                <w:bCs/>
                <w:color w:val="0070C0"/>
              </w:rPr>
            </w:pPr>
          </w:p>
        </w:tc>
        <w:tc>
          <w:tcPr>
            <w:tcW w:w="2754" w:type="dxa"/>
          </w:tcPr>
          <w:p w14:paraId="46823BF0" w14:textId="77777777" w:rsidR="00A07D34" w:rsidRPr="00A14EFC" w:rsidRDefault="00A07D34" w:rsidP="00A14EFC">
            <w:pPr>
              <w:widowControl w:val="0"/>
              <w:rPr>
                <w:rFonts w:ascii="Calibri" w:hAnsi="Calibri" w:cs="Times New Roman"/>
                <w:bCs/>
                <w:color w:val="0070C0"/>
              </w:rPr>
            </w:pPr>
          </w:p>
        </w:tc>
        <w:tc>
          <w:tcPr>
            <w:tcW w:w="2754" w:type="dxa"/>
          </w:tcPr>
          <w:p w14:paraId="0D424D98" w14:textId="77777777" w:rsidR="00A07D34" w:rsidRPr="00A14EFC" w:rsidRDefault="00A07D34" w:rsidP="00A14EFC">
            <w:pPr>
              <w:widowControl w:val="0"/>
              <w:rPr>
                <w:rFonts w:ascii="Calibri" w:hAnsi="Calibri" w:cs="Times New Roman"/>
                <w:bCs/>
                <w:color w:val="0070C0"/>
              </w:rPr>
            </w:pPr>
          </w:p>
        </w:tc>
        <w:tc>
          <w:tcPr>
            <w:tcW w:w="2754" w:type="dxa"/>
          </w:tcPr>
          <w:p w14:paraId="43A766CF" w14:textId="77777777" w:rsidR="00A07D34" w:rsidRPr="00A14EFC" w:rsidRDefault="00A07D34" w:rsidP="00A14EFC">
            <w:pPr>
              <w:widowControl w:val="0"/>
              <w:rPr>
                <w:rFonts w:ascii="Calibri" w:hAnsi="Calibri" w:cs="Times New Roman"/>
                <w:bCs/>
                <w:color w:val="0070C0"/>
              </w:rPr>
            </w:pPr>
          </w:p>
        </w:tc>
      </w:tr>
      <w:tr w:rsidR="00A07D34" w:rsidRPr="006C43BC" w14:paraId="16B9B9EF" w14:textId="77777777" w:rsidTr="00A14EFC">
        <w:tc>
          <w:tcPr>
            <w:tcW w:w="2754" w:type="dxa"/>
          </w:tcPr>
          <w:p w14:paraId="4937A870" w14:textId="77777777" w:rsidR="00A07D34" w:rsidRPr="00A14EFC" w:rsidRDefault="00A07D34" w:rsidP="00A14EFC">
            <w:pPr>
              <w:widowControl w:val="0"/>
              <w:rPr>
                <w:rFonts w:ascii="Calibri" w:hAnsi="Calibri" w:cs="Times New Roman"/>
                <w:bCs/>
                <w:color w:val="0070C0"/>
              </w:rPr>
            </w:pPr>
          </w:p>
        </w:tc>
        <w:tc>
          <w:tcPr>
            <w:tcW w:w="2754" w:type="dxa"/>
          </w:tcPr>
          <w:p w14:paraId="7745AB33" w14:textId="77777777" w:rsidR="00A07D34" w:rsidRPr="00A14EFC" w:rsidRDefault="00A07D34" w:rsidP="00A14EFC">
            <w:pPr>
              <w:widowControl w:val="0"/>
              <w:rPr>
                <w:rFonts w:ascii="Calibri" w:hAnsi="Calibri" w:cs="Times New Roman"/>
                <w:bCs/>
                <w:color w:val="0070C0"/>
              </w:rPr>
            </w:pPr>
          </w:p>
        </w:tc>
        <w:tc>
          <w:tcPr>
            <w:tcW w:w="2754" w:type="dxa"/>
          </w:tcPr>
          <w:p w14:paraId="46C5AD8D" w14:textId="77777777" w:rsidR="00A07D34" w:rsidRPr="00A14EFC" w:rsidRDefault="00A07D34" w:rsidP="00A14EFC">
            <w:pPr>
              <w:widowControl w:val="0"/>
              <w:rPr>
                <w:rFonts w:ascii="Calibri" w:hAnsi="Calibri" w:cs="Times New Roman"/>
                <w:bCs/>
                <w:color w:val="0070C0"/>
              </w:rPr>
            </w:pPr>
          </w:p>
        </w:tc>
        <w:tc>
          <w:tcPr>
            <w:tcW w:w="2754" w:type="dxa"/>
          </w:tcPr>
          <w:p w14:paraId="289FD4F6" w14:textId="77777777" w:rsidR="00A07D34" w:rsidRPr="00A14EFC" w:rsidRDefault="00A07D34" w:rsidP="00A14EFC">
            <w:pPr>
              <w:widowControl w:val="0"/>
              <w:rPr>
                <w:rFonts w:ascii="Calibri" w:hAnsi="Calibri" w:cs="Times New Roman"/>
                <w:bCs/>
                <w:color w:val="0070C0"/>
              </w:rPr>
            </w:pPr>
          </w:p>
        </w:tc>
      </w:tr>
    </w:tbl>
    <w:p w14:paraId="6E1ED41F" w14:textId="77777777" w:rsidR="00DB2DD8" w:rsidRDefault="00DB2DD8" w:rsidP="00EC4830">
      <w:pPr>
        <w:widowControl w:val="0"/>
        <w:rPr>
          <w:rFonts w:ascii="Calibri" w:hAnsi="Calibri" w:cs="Times New Roman"/>
          <w:b/>
          <w:bCs/>
          <w:color w:val="264D74"/>
        </w:rPr>
      </w:pPr>
    </w:p>
    <w:p w14:paraId="2FBCA259" w14:textId="77777777" w:rsidR="00434EDD" w:rsidRDefault="00434EDD" w:rsidP="00EC4830">
      <w:pPr>
        <w:widowControl w:val="0"/>
        <w:rPr>
          <w:rFonts w:ascii="Calibri" w:hAnsi="Calibri" w:cs="Times New Roman"/>
          <w:b/>
          <w:bCs/>
          <w:color w:val="264D74"/>
        </w:rPr>
      </w:pPr>
    </w:p>
    <w:p w14:paraId="72ACF82F" w14:textId="77777777" w:rsidR="00434EDD" w:rsidRPr="006C43BC" w:rsidRDefault="00434EDD" w:rsidP="00EC4830">
      <w:pPr>
        <w:widowControl w:val="0"/>
        <w:rPr>
          <w:rFonts w:ascii="Calibri" w:hAnsi="Calibri" w:cs="Times New Roman"/>
          <w:b/>
          <w:bCs/>
          <w:color w:val="264D74"/>
        </w:rPr>
      </w:pPr>
    </w:p>
    <w:p w14:paraId="70BA2AB1" w14:textId="77777777" w:rsidR="00440BF2" w:rsidRPr="00501FCB" w:rsidRDefault="00440BF2" w:rsidP="0093048F">
      <w:pPr>
        <w:pStyle w:val="Heading1"/>
        <w:rPr>
          <w:rFonts w:ascii="Calibri" w:hAnsi="Calibri"/>
          <w:b/>
          <w:color w:val="auto"/>
          <w:sz w:val="24"/>
          <w:szCs w:val="22"/>
          <w:u w:val="single"/>
        </w:rPr>
      </w:pPr>
      <w:bookmarkStart w:id="1" w:name="_Toc330463553"/>
      <w:r w:rsidRPr="00501FCB">
        <w:rPr>
          <w:rFonts w:ascii="Calibri" w:hAnsi="Calibri"/>
          <w:b/>
          <w:color w:val="auto"/>
          <w:sz w:val="24"/>
          <w:szCs w:val="22"/>
          <w:u w:val="single"/>
        </w:rPr>
        <w:t>R1 Supporting Evidence and Documentation</w:t>
      </w:r>
      <w:bookmarkEnd w:id="1"/>
    </w:p>
    <w:p w14:paraId="3104BFD0" w14:textId="77777777" w:rsidR="00906E1F" w:rsidRPr="00A5384D" w:rsidRDefault="00BB361A" w:rsidP="00906E1F">
      <w:pPr>
        <w:tabs>
          <w:tab w:val="left" w:pos="0"/>
        </w:tabs>
        <w:spacing w:after="120"/>
        <w:ind w:left="936" w:hanging="576"/>
        <w:rPr>
          <w:rFonts w:ascii="Times New Roman" w:hAnsi="Times New Roman" w:cs="Times New Roman"/>
          <w:b/>
          <w:bCs/>
        </w:rPr>
      </w:pPr>
      <w:r w:rsidRPr="00647DE0">
        <w:rPr>
          <w:rFonts w:ascii="Times New Roman" w:hAnsi="Times New Roman" w:cs="Times New Roman"/>
          <w:b/>
          <w:bCs/>
          <w:color w:val="auto"/>
          <w:szCs w:val="22"/>
        </w:rPr>
        <w:t>R1.</w:t>
      </w:r>
      <w:r w:rsidRPr="00647DE0">
        <w:rPr>
          <w:rFonts w:ascii="Calibri" w:hAnsi="Calibri" w:cs="Times New Roman"/>
          <w:b/>
          <w:bCs/>
          <w:color w:val="auto"/>
          <w:szCs w:val="22"/>
        </w:rPr>
        <w:t xml:space="preserve"> </w:t>
      </w:r>
      <w:r w:rsidR="00906E1F" w:rsidRPr="00A5384D">
        <w:rPr>
          <w:rFonts w:ascii="Times New Roman" w:hAnsi="Times New Roman" w:cs="Times New Roman"/>
        </w:rPr>
        <w:t>Each Planning Coordinator shall have a documented methodology it uses to perform an annual assessment of Transfer Capability in the Near-Term Transmission Planning Horizon (Transfer Capability methodology). The Transfer Capability methodology shall include, at a minimum, the following information:</w:t>
      </w:r>
    </w:p>
    <w:p w14:paraId="1E3F5D9D" w14:textId="77777777" w:rsidR="00906E1F" w:rsidRPr="00A5384D" w:rsidRDefault="00906E1F" w:rsidP="00906E1F">
      <w:pPr>
        <w:tabs>
          <w:tab w:val="left" w:pos="1710"/>
        </w:tabs>
        <w:spacing w:after="120"/>
        <w:ind w:left="1728" w:hanging="792"/>
        <w:rPr>
          <w:rFonts w:ascii="Times New Roman" w:hAnsi="Times New Roman" w:cs="Times New Roman"/>
        </w:rPr>
      </w:pPr>
      <w:r w:rsidRPr="00A5384D">
        <w:rPr>
          <w:rFonts w:ascii="Times New Roman" w:hAnsi="Times New Roman" w:cs="Times New Roman"/>
          <w:b/>
          <w:bCs/>
        </w:rPr>
        <w:t>R1.</w:t>
      </w:r>
      <w:r w:rsidRPr="00A5384D">
        <w:rPr>
          <w:rFonts w:ascii="Times New Roman" w:hAnsi="Times New Roman" w:cs="Times New Roman"/>
          <w:b/>
        </w:rPr>
        <w:t>1.</w:t>
      </w:r>
      <w:r w:rsidRPr="00A5384D">
        <w:rPr>
          <w:rFonts w:ascii="Times New Roman" w:hAnsi="Times New Roman" w:cs="Times New Roman"/>
        </w:rPr>
        <w:tab/>
        <w:t>Criteria for the selection of the transfers to be assessed.</w:t>
      </w:r>
    </w:p>
    <w:p w14:paraId="7FF71BB6" w14:textId="77777777" w:rsidR="00906E1F" w:rsidRPr="00A5384D" w:rsidRDefault="00906E1F" w:rsidP="00906E1F">
      <w:pPr>
        <w:tabs>
          <w:tab w:val="left" w:pos="1710"/>
        </w:tabs>
        <w:spacing w:after="120"/>
        <w:ind w:left="1728" w:hanging="792"/>
        <w:rPr>
          <w:rFonts w:ascii="Times New Roman" w:hAnsi="Times New Roman" w:cs="Times New Roman"/>
        </w:rPr>
      </w:pPr>
      <w:r w:rsidRPr="00A5384D">
        <w:rPr>
          <w:rFonts w:ascii="Times New Roman" w:hAnsi="Times New Roman" w:cs="Times New Roman"/>
          <w:b/>
          <w:bCs/>
        </w:rPr>
        <w:t>R1.</w:t>
      </w:r>
      <w:r w:rsidRPr="00A5384D">
        <w:rPr>
          <w:rFonts w:ascii="Times New Roman" w:hAnsi="Times New Roman" w:cs="Times New Roman"/>
          <w:b/>
        </w:rPr>
        <w:t>2.</w:t>
      </w:r>
      <w:r w:rsidRPr="00A5384D">
        <w:rPr>
          <w:rFonts w:ascii="Times New Roman" w:hAnsi="Times New Roman" w:cs="Times New Roman"/>
        </w:rPr>
        <w:tab/>
        <w:t>A statement that the assessment shall respect known System Operating Limits (SOLs).</w:t>
      </w:r>
    </w:p>
    <w:p w14:paraId="45EF007D" w14:textId="77777777" w:rsidR="00906E1F" w:rsidRPr="00A5384D" w:rsidRDefault="00906E1F" w:rsidP="00906E1F">
      <w:pPr>
        <w:tabs>
          <w:tab w:val="left" w:pos="1710"/>
        </w:tabs>
        <w:spacing w:after="120"/>
        <w:ind w:left="1728" w:hanging="792"/>
        <w:rPr>
          <w:rFonts w:ascii="Times New Roman" w:hAnsi="Times New Roman" w:cs="Times New Roman"/>
        </w:rPr>
      </w:pPr>
      <w:r w:rsidRPr="00A5384D">
        <w:rPr>
          <w:rFonts w:ascii="Times New Roman" w:hAnsi="Times New Roman" w:cs="Times New Roman"/>
          <w:b/>
          <w:bCs/>
        </w:rPr>
        <w:t>R1.</w:t>
      </w:r>
      <w:r w:rsidRPr="00A5384D">
        <w:rPr>
          <w:rFonts w:ascii="Times New Roman" w:hAnsi="Times New Roman" w:cs="Times New Roman"/>
          <w:b/>
        </w:rPr>
        <w:t>3.</w:t>
      </w:r>
      <w:r w:rsidRPr="00A5384D">
        <w:rPr>
          <w:rFonts w:ascii="Times New Roman" w:hAnsi="Times New Roman" w:cs="Times New Roman"/>
        </w:rPr>
        <w:tab/>
        <w:t>A statement that the assumptions and criteria used to perform the assessment are consistent with the Planning Coordinator’s planning practices.</w:t>
      </w:r>
    </w:p>
    <w:p w14:paraId="7CF2A07C" w14:textId="77777777" w:rsidR="00906E1F" w:rsidRPr="00A5384D" w:rsidRDefault="00906E1F" w:rsidP="00906E1F">
      <w:pPr>
        <w:tabs>
          <w:tab w:val="left" w:pos="1710"/>
        </w:tabs>
        <w:spacing w:after="120"/>
        <w:ind w:left="1728" w:hanging="792"/>
        <w:rPr>
          <w:rFonts w:ascii="Times New Roman" w:hAnsi="Times New Roman" w:cs="Times New Roman"/>
        </w:rPr>
      </w:pPr>
      <w:r w:rsidRPr="00A5384D">
        <w:rPr>
          <w:rFonts w:ascii="Times New Roman" w:hAnsi="Times New Roman" w:cs="Times New Roman"/>
          <w:b/>
          <w:bCs/>
        </w:rPr>
        <w:t>R1.</w:t>
      </w:r>
      <w:r w:rsidRPr="00A5384D">
        <w:rPr>
          <w:rFonts w:ascii="Times New Roman" w:hAnsi="Times New Roman" w:cs="Times New Roman"/>
          <w:b/>
        </w:rPr>
        <w:t>4.</w:t>
      </w:r>
      <w:r w:rsidRPr="00A5384D">
        <w:rPr>
          <w:rFonts w:ascii="Times New Roman" w:hAnsi="Times New Roman" w:cs="Times New Roman"/>
        </w:rPr>
        <w:tab/>
        <w:t>A description of how each of the following assumptions and criteria used in performing the assessment are addressed:</w:t>
      </w:r>
    </w:p>
    <w:p w14:paraId="0303B687" w14:textId="77777777" w:rsidR="00906E1F" w:rsidRPr="00A5384D" w:rsidRDefault="00906E1F" w:rsidP="00906E1F">
      <w:pPr>
        <w:tabs>
          <w:tab w:val="left" w:pos="2520"/>
        </w:tabs>
        <w:spacing w:after="120"/>
        <w:ind w:left="2520" w:hanging="792"/>
        <w:rPr>
          <w:rFonts w:ascii="Times New Roman" w:hAnsi="Times New Roman" w:cs="Times New Roman"/>
        </w:rPr>
      </w:pPr>
      <w:r w:rsidRPr="00A5384D">
        <w:rPr>
          <w:rFonts w:ascii="Times New Roman" w:hAnsi="Times New Roman" w:cs="Times New Roman"/>
          <w:b/>
          <w:bCs/>
        </w:rPr>
        <w:t>R1.4.1.</w:t>
      </w:r>
      <w:r w:rsidRPr="00A5384D">
        <w:rPr>
          <w:rFonts w:ascii="Times New Roman" w:hAnsi="Times New Roman" w:cs="Times New Roman"/>
          <w:b/>
          <w:bCs/>
        </w:rPr>
        <w:tab/>
      </w:r>
      <w:r w:rsidRPr="00A5384D">
        <w:rPr>
          <w:rFonts w:ascii="Times New Roman" w:hAnsi="Times New Roman" w:cs="Times New Roman"/>
        </w:rPr>
        <w:t>Generation dispatch, including but not limited to long term planned outages, additions and retirements.</w:t>
      </w:r>
    </w:p>
    <w:p w14:paraId="407E07B9" w14:textId="77777777" w:rsidR="00906E1F" w:rsidRPr="00A5384D" w:rsidRDefault="00906E1F" w:rsidP="00906E1F">
      <w:pPr>
        <w:tabs>
          <w:tab w:val="left" w:pos="2520"/>
        </w:tabs>
        <w:spacing w:after="120"/>
        <w:ind w:left="2520" w:hanging="792"/>
        <w:rPr>
          <w:rFonts w:ascii="Times New Roman" w:hAnsi="Times New Roman" w:cs="Times New Roman"/>
        </w:rPr>
      </w:pPr>
      <w:r w:rsidRPr="00A5384D">
        <w:rPr>
          <w:rFonts w:ascii="Times New Roman" w:hAnsi="Times New Roman" w:cs="Times New Roman"/>
          <w:b/>
          <w:bCs/>
        </w:rPr>
        <w:t xml:space="preserve">R1.4.2. </w:t>
      </w:r>
      <w:r w:rsidRPr="00A5384D">
        <w:rPr>
          <w:rFonts w:ascii="Times New Roman" w:hAnsi="Times New Roman" w:cs="Times New Roman"/>
        </w:rPr>
        <w:t>Transmission system topology, including but not limited to long term planned Transmission outages, additions, and retirements.</w:t>
      </w:r>
    </w:p>
    <w:p w14:paraId="3DFB2445" w14:textId="77777777" w:rsidR="00906E1F" w:rsidRPr="00A5384D" w:rsidRDefault="00906E1F" w:rsidP="00906E1F">
      <w:pPr>
        <w:tabs>
          <w:tab w:val="left" w:pos="2520"/>
        </w:tabs>
        <w:spacing w:after="120"/>
        <w:ind w:left="2520" w:hanging="792"/>
        <w:rPr>
          <w:rFonts w:ascii="Times New Roman" w:hAnsi="Times New Roman" w:cs="Times New Roman"/>
        </w:rPr>
      </w:pPr>
      <w:r w:rsidRPr="00A5384D">
        <w:rPr>
          <w:rFonts w:ascii="Times New Roman" w:hAnsi="Times New Roman" w:cs="Times New Roman"/>
          <w:b/>
          <w:bCs/>
        </w:rPr>
        <w:t>R1.4.3.</w:t>
      </w:r>
      <w:r w:rsidRPr="00A5384D">
        <w:rPr>
          <w:rFonts w:ascii="Times New Roman" w:hAnsi="Times New Roman" w:cs="Times New Roman"/>
          <w:b/>
          <w:bCs/>
        </w:rPr>
        <w:tab/>
      </w:r>
      <w:r w:rsidRPr="00A5384D">
        <w:rPr>
          <w:rFonts w:ascii="Times New Roman" w:hAnsi="Times New Roman" w:cs="Times New Roman"/>
        </w:rPr>
        <w:t>System demand.</w:t>
      </w:r>
    </w:p>
    <w:p w14:paraId="66AB304C" w14:textId="77777777" w:rsidR="00906E1F" w:rsidRPr="00A5384D" w:rsidRDefault="00906E1F" w:rsidP="00906E1F">
      <w:pPr>
        <w:tabs>
          <w:tab w:val="left" w:pos="2520"/>
        </w:tabs>
        <w:spacing w:after="120"/>
        <w:ind w:left="2520" w:hanging="792"/>
        <w:rPr>
          <w:rFonts w:ascii="Times New Roman" w:hAnsi="Times New Roman" w:cs="Times New Roman"/>
        </w:rPr>
      </w:pPr>
      <w:r w:rsidRPr="00A5384D">
        <w:rPr>
          <w:rFonts w:ascii="Times New Roman" w:hAnsi="Times New Roman" w:cs="Times New Roman"/>
          <w:b/>
          <w:bCs/>
        </w:rPr>
        <w:t>R1.4.4.</w:t>
      </w:r>
      <w:r w:rsidRPr="00A5384D">
        <w:rPr>
          <w:rFonts w:ascii="Times New Roman" w:hAnsi="Times New Roman" w:cs="Times New Roman"/>
          <w:b/>
          <w:bCs/>
        </w:rPr>
        <w:tab/>
      </w:r>
      <w:r w:rsidRPr="00A5384D">
        <w:rPr>
          <w:rFonts w:ascii="Times New Roman" w:hAnsi="Times New Roman" w:cs="Times New Roman"/>
        </w:rPr>
        <w:t>Current approved and projected Transmission uses.</w:t>
      </w:r>
    </w:p>
    <w:p w14:paraId="5068CD84" w14:textId="77777777" w:rsidR="00906E1F" w:rsidRPr="00A5384D" w:rsidRDefault="00906E1F" w:rsidP="00906E1F">
      <w:pPr>
        <w:tabs>
          <w:tab w:val="left" w:pos="2520"/>
        </w:tabs>
        <w:spacing w:after="120"/>
        <w:ind w:left="2520" w:hanging="792"/>
        <w:rPr>
          <w:rFonts w:ascii="Times New Roman" w:hAnsi="Times New Roman" w:cs="Times New Roman"/>
        </w:rPr>
      </w:pPr>
      <w:r w:rsidRPr="00A5384D">
        <w:rPr>
          <w:rFonts w:ascii="Times New Roman" w:hAnsi="Times New Roman" w:cs="Times New Roman"/>
          <w:b/>
          <w:bCs/>
        </w:rPr>
        <w:t>R1.4.5.</w:t>
      </w:r>
      <w:r w:rsidRPr="00A5384D">
        <w:rPr>
          <w:rFonts w:ascii="Times New Roman" w:hAnsi="Times New Roman" w:cs="Times New Roman"/>
          <w:b/>
          <w:bCs/>
        </w:rPr>
        <w:tab/>
      </w:r>
      <w:r w:rsidRPr="00A5384D">
        <w:rPr>
          <w:rFonts w:ascii="Times New Roman" w:hAnsi="Times New Roman" w:cs="Times New Roman"/>
        </w:rPr>
        <w:t>Parallel path (loop flow) adjustments.</w:t>
      </w:r>
    </w:p>
    <w:p w14:paraId="5FA12F19" w14:textId="77777777" w:rsidR="00906E1F" w:rsidRPr="00A5384D" w:rsidRDefault="00906E1F" w:rsidP="00906E1F">
      <w:pPr>
        <w:tabs>
          <w:tab w:val="left" w:pos="2520"/>
        </w:tabs>
        <w:spacing w:after="120"/>
        <w:ind w:left="2520" w:hanging="792"/>
        <w:rPr>
          <w:rFonts w:ascii="Times New Roman" w:hAnsi="Times New Roman" w:cs="Times New Roman"/>
        </w:rPr>
      </w:pPr>
      <w:r w:rsidRPr="00A5384D">
        <w:rPr>
          <w:rFonts w:ascii="Times New Roman" w:hAnsi="Times New Roman" w:cs="Times New Roman"/>
          <w:b/>
          <w:bCs/>
        </w:rPr>
        <w:t>R1.4.6.</w:t>
      </w:r>
      <w:r w:rsidRPr="00A5384D">
        <w:rPr>
          <w:rFonts w:ascii="Times New Roman" w:hAnsi="Times New Roman" w:cs="Times New Roman"/>
          <w:b/>
          <w:bCs/>
        </w:rPr>
        <w:tab/>
      </w:r>
      <w:r w:rsidRPr="00A5384D">
        <w:rPr>
          <w:rFonts w:ascii="Times New Roman" w:hAnsi="Times New Roman" w:cs="Times New Roman"/>
        </w:rPr>
        <w:t>Contingencies</w:t>
      </w:r>
    </w:p>
    <w:p w14:paraId="4598AC5F" w14:textId="77777777" w:rsidR="00906E1F" w:rsidRPr="00A5384D" w:rsidRDefault="00906E1F" w:rsidP="00906E1F">
      <w:pPr>
        <w:tabs>
          <w:tab w:val="left" w:pos="2520"/>
        </w:tabs>
        <w:spacing w:after="120"/>
        <w:ind w:left="2520" w:hanging="792"/>
        <w:rPr>
          <w:rFonts w:ascii="Times New Roman" w:hAnsi="Times New Roman" w:cs="Times New Roman"/>
        </w:rPr>
      </w:pPr>
      <w:r w:rsidRPr="00A5384D">
        <w:rPr>
          <w:rFonts w:ascii="Times New Roman" w:hAnsi="Times New Roman" w:cs="Times New Roman"/>
          <w:b/>
          <w:bCs/>
        </w:rPr>
        <w:t>R1.4.7.</w:t>
      </w:r>
      <w:r w:rsidRPr="00A5384D">
        <w:rPr>
          <w:rFonts w:ascii="Times New Roman" w:hAnsi="Times New Roman" w:cs="Times New Roman"/>
          <w:b/>
          <w:bCs/>
        </w:rPr>
        <w:tab/>
      </w:r>
      <w:r w:rsidRPr="00A5384D">
        <w:rPr>
          <w:rFonts w:ascii="Times New Roman" w:hAnsi="Times New Roman" w:cs="Times New Roman"/>
        </w:rPr>
        <w:t>Monitored Facilities.</w:t>
      </w:r>
    </w:p>
    <w:p w14:paraId="0D198DA2" w14:textId="77777777" w:rsidR="00906E1F" w:rsidRPr="00A5384D" w:rsidRDefault="00906E1F" w:rsidP="00906E1F">
      <w:pPr>
        <w:tabs>
          <w:tab w:val="left" w:pos="1710"/>
        </w:tabs>
        <w:spacing w:after="120"/>
        <w:ind w:left="1728" w:hanging="792"/>
        <w:rPr>
          <w:rFonts w:ascii="Times New Roman" w:hAnsi="Times New Roman" w:cs="Times New Roman"/>
        </w:rPr>
      </w:pPr>
      <w:r w:rsidRPr="00A5384D">
        <w:rPr>
          <w:rFonts w:ascii="Times New Roman" w:hAnsi="Times New Roman" w:cs="Times New Roman"/>
          <w:b/>
          <w:bCs/>
        </w:rPr>
        <w:t>R1.5.</w:t>
      </w:r>
      <w:r w:rsidRPr="00A5384D">
        <w:rPr>
          <w:rFonts w:ascii="Times New Roman" w:hAnsi="Times New Roman" w:cs="Times New Roman"/>
          <w:b/>
          <w:bCs/>
        </w:rPr>
        <w:tab/>
      </w:r>
      <w:r w:rsidRPr="00A5384D">
        <w:rPr>
          <w:rFonts w:ascii="Times New Roman" w:hAnsi="Times New Roman" w:cs="Times New Roman"/>
        </w:rPr>
        <w:t xml:space="preserve">A description of how simulations of transfers are performed through the adjustment of generation, Load or both. </w:t>
      </w:r>
    </w:p>
    <w:p w14:paraId="285B4084" w14:textId="77777777" w:rsidR="00BB361A" w:rsidRPr="006C43BC" w:rsidRDefault="00BB361A" w:rsidP="001D4564">
      <w:pPr>
        <w:widowControl w:val="0"/>
        <w:tabs>
          <w:tab w:val="left" w:pos="0"/>
        </w:tabs>
        <w:rPr>
          <w:rFonts w:ascii="Calibri" w:hAnsi="Calibri" w:cs="Times New Roman"/>
          <w:b/>
          <w:bCs/>
        </w:rPr>
      </w:pPr>
    </w:p>
    <w:p w14:paraId="4FC6D86D" w14:textId="77777777" w:rsidR="0043375A" w:rsidRPr="006C43BC" w:rsidRDefault="001D4564" w:rsidP="0043375A">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14:paraId="1A69AA96" w14:textId="77777777" w:rsidR="001D4564" w:rsidRPr="006C43BC" w:rsidRDefault="0043375A" w:rsidP="0043375A">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w:t>
      </w:r>
      <w:r w:rsidR="007E0126" w:rsidRPr="006C43BC">
        <w:rPr>
          <w:rFonts w:ascii="Calibri" w:eastAsia="Calibri" w:hAnsi="Calibri" w:cs="Times New Roman"/>
          <w:sz w:val="22"/>
          <w:szCs w:val="22"/>
        </w:rPr>
        <w:t>R</w:t>
      </w:r>
      <w:r w:rsidRPr="006C43BC">
        <w:rPr>
          <w:rFonts w:ascii="Calibri" w:eastAsia="Calibri" w:hAnsi="Calibri" w:cs="Times New Roman"/>
          <w:sz w:val="22"/>
          <w:szCs w:val="22"/>
        </w:rPr>
        <w:t xml:space="preserve">equirement. </w:t>
      </w:r>
    </w:p>
    <w:p w14:paraId="62C1FFED" w14:textId="77777777" w:rsidR="006C43BC" w:rsidRPr="006C43BC" w:rsidRDefault="006C43BC" w:rsidP="00C41854">
      <w:pPr>
        <w:widowControl w:val="0"/>
        <w:shd w:val="clear" w:color="auto" w:fill="D3DCE9"/>
        <w:jc w:val="both"/>
        <w:rPr>
          <w:rFonts w:ascii="Calibri" w:hAnsi="Calibri" w:cs="Times New Roman"/>
          <w:bCs/>
          <w:color w:val="0070C0"/>
        </w:rPr>
      </w:pPr>
    </w:p>
    <w:p w14:paraId="47841338" w14:textId="77777777" w:rsidR="006C43BC" w:rsidRPr="006C43BC" w:rsidRDefault="006C43BC" w:rsidP="00C41854">
      <w:pPr>
        <w:widowControl w:val="0"/>
        <w:shd w:val="clear" w:color="auto" w:fill="D3DCE9"/>
        <w:jc w:val="both"/>
        <w:rPr>
          <w:rFonts w:ascii="Calibri" w:hAnsi="Calibri" w:cs="Times New Roman"/>
          <w:bCs/>
          <w:color w:val="0070C0"/>
        </w:rPr>
      </w:pPr>
    </w:p>
    <w:p w14:paraId="30E2294E" w14:textId="77777777" w:rsidR="00776474" w:rsidRPr="006C43BC" w:rsidRDefault="00776474" w:rsidP="00776474">
      <w:pPr>
        <w:widowControl w:val="0"/>
        <w:spacing w:line="266" w:lineRule="exact"/>
        <w:rPr>
          <w:rFonts w:ascii="Calibri" w:hAnsi="Calibri" w:cs="Times New Roman"/>
          <w:b/>
          <w:bCs/>
        </w:rPr>
      </w:pPr>
    </w:p>
    <w:p w14:paraId="6F5766A1" w14:textId="77777777" w:rsidR="00B52EA0" w:rsidRPr="006C43BC" w:rsidRDefault="00B52EA0" w:rsidP="00B52EA0">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B7D5B" w:rsidRPr="006C43BC" w14:paraId="17D8D85E" w14:textId="77777777" w:rsidTr="00A14EFC">
        <w:tc>
          <w:tcPr>
            <w:tcW w:w="11016" w:type="dxa"/>
            <w:shd w:val="clear" w:color="auto" w:fill="DBE5F1"/>
          </w:tcPr>
          <w:p w14:paraId="070931C4" w14:textId="77777777" w:rsidR="00B52EA0" w:rsidRPr="00A14EFC" w:rsidRDefault="008C17EB" w:rsidP="00A14EFC">
            <w:pPr>
              <w:widowControl w:val="0"/>
              <w:tabs>
                <w:tab w:val="left" w:pos="0"/>
              </w:tabs>
              <w:rPr>
                <w:rFonts w:ascii="Calibri" w:hAnsi="Calibri" w:cs="Times New Roman"/>
                <w:bCs/>
                <w:color w:val="auto"/>
              </w:rPr>
            </w:pPr>
            <w:r w:rsidRPr="00A14EFC">
              <w:rPr>
                <w:rFonts w:ascii="Calibri" w:hAnsi="Calibri" w:cs="Times New Roman"/>
                <w:bCs/>
                <w:color w:val="auto"/>
              </w:rPr>
              <w:t>P</w:t>
            </w:r>
            <w:r w:rsidR="00B52EA0" w:rsidRPr="00A14EFC">
              <w:rPr>
                <w:rFonts w:ascii="Calibri" w:hAnsi="Calibri" w:cs="Times New Roman"/>
                <w:bCs/>
                <w:color w:val="auto"/>
              </w:rPr>
              <w:t>rovide the following</w:t>
            </w:r>
            <w:r w:rsidRPr="00A14EFC">
              <w:rPr>
                <w:rFonts w:ascii="Calibri" w:hAnsi="Calibri" w:cs="Times New Roman"/>
                <w:bCs/>
                <w:color w:val="auto"/>
              </w:rPr>
              <w:t xml:space="preserve"> for all evidence submitted (</w:t>
            </w:r>
            <w:r w:rsidRPr="00A14EFC">
              <w:rPr>
                <w:rFonts w:ascii="Calibri" w:hAnsi="Calibri" w:cs="Times New Roman"/>
              </w:rPr>
              <w:t>Insert additional rows if necessary)</w:t>
            </w:r>
            <w:r w:rsidR="00B52EA0" w:rsidRPr="00A14EFC">
              <w:rPr>
                <w:rFonts w:ascii="Calibri" w:hAnsi="Calibri" w:cs="Times New Roman"/>
                <w:bCs/>
                <w:color w:val="auto"/>
              </w:rPr>
              <w:t>:</w:t>
            </w:r>
          </w:p>
          <w:p w14:paraId="06C6E8AD" w14:textId="77777777" w:rsidR="00AB7D5B" w:rsidRPr="00A14EFC" w:rsidRDefault="00B52EA0" w:rsidP="00A14EFC">
            <w:pPr>
              <w:widowControl w:val="0"/>
              <w:rPr>
                <w:rFonts w:ascii="Calibri" w:hAnsi="Calibri" w:cs="Times New Roman"/>
              </w:rPr>
            </w:pPr>
            <w:r w:rsidRPr="00A14EFC">
              <w:rPr>
                <w:rFonts w:ascii="Calibri" w:hAnsi="Calibri" w:cs="Times New Roman"/>
                <w:bCs/>
                <w:color w:val="auto"/>
              </w:rPr>
              <w:tab/>
              <w:t xml:space="preserve">File </w:t>
            </w:r>
            <w:r w:rsidR="008C17EB" w:rsidRPr="00A14EFC">
              <w:rPr>
                <w:rFonts w:ascii="Calibri" w:hAnsi="Calibri" w:cs="Times New Roman"/>
                <w:bCs/>
                <w:color w:val="auto"/>
              </w:rPr>
              <w:t>N</w:t>
            </w:r>
            <w:r w:rsidRPr="00A14EFC">
              <w:rPr>
                <w:rFonts w:ascii="Calibri" w:hAnsi="Calibri" w:cs="Times New Roman"/>
                <w:bCs/>
                <w:color w:val="auto"/>
              </w:rPr>
              <w:t xml:space="preserve">ame, </w:t>
            </w:r>
            <w:r w:rsidR="008C17EB" w:rsidRPr="00A14EFC">
              <w:rPr>
                <w:rFonts w:ascii="Calibri" w:hAnsi="Calibri" w:cs="Times New Roman"/>
                <w:bCs/>
                <w:color w:val="auto"/>
              </w:rPr>
              <w:t>F</w:t>
            </w:r>
            <w:r w:rsidRPr="00A14EFC">
              <w:rPr>
                <w:rFonts w:ascii="Calibri" w:hAnsi="Calibri" w:cs="Times New Roman"/>
                <w:bCs/>
                <w:color w:val="auto"/>
              </w:rPr>
              <w:t xml:space="preserve">ile </w:t>
            </w:r>
            <w:r w:rsidR="008302E3">
              <w:rPr>
                <w:rFonts w:ascii="Calibri" w:hAnsi="Calibri" w:cs="Times New Roman"/>
                <w:bCs/>
                <w:color w:val="auto"/>
              </w:rPr>
              <w:t>Extension</w:t>
            </w:r>
            <w:r w:rsidRPr="00A14EFC">
              <w:rPr>
                <w:rFonts w:ascii="Calibri" w:hAnsi="Calibri" w:cs="Times New Roman"/>
                <w:bCs/>
                <w:color w:val="auto"/>
              </w:rPr>
              <w:t xml:space="preserve">, </w:t>
            </w:r>
            <w:r w:rsidR="008C17EB" w:rsidRPr="00A14EFC">
              <w:rPr>
                <w:rFonts w:ascii="Calibri" w:hAnsi="Calibri" w:cs="Times New Roman"/>
                <w:bCs/>
                <w:color w:val="auto"/>
              </w:rPr>
              <w:t>D</w:t>
            </w:r>
            <w:r w:rsidRPr="00A14EFC">
              <w:rPr>
                <w:rFonts w:ascii="Calibri" w:hAnsi="Calibri" w:cs="Times New Roman"/>
                <w:bCs/>
                <w:color w:val="auto"/>
              </w:rPr>
              <w:t xml:space="preserve">ocument </w:t>
            </w:r>
            <w:r w:rsidR="008C17EB" w:rsidRPr="00A14EFC">
              <w:rPr>
                <w:rFonts w:ascii="Calibri" w:hAnsi="Calibri" w:cs="Times New Roman"/>
                <w:bCs/>
                <w:color w:val="auto"/>
              </w:rPr>
              <w:t>T</w:t>
            </w:r>
            <w:r w:rsidRPr="00A14EFC">
              <w:rPr>
                <w:rFonts w:ascii="Calibri" w:hAnsi="Calibri" w:cs="Times New Roman"/>
                <w:bCs/>
                <w:color w:val="auto"/>
              </w:rPr>
              <w:t xml:space="preserve">itle, </w:t>
            </w:r>
            <w:r w:rsidR="008C17EB" w:rsidRPr="00A14EFC">
              <w:rPr>
                <w:rFonts w:ascii="Calibri" w:hAnsi="Calibri" w:cs="Times New Roman"/>
                <w:bCs/>
                <w:color w:val="auto"/>
              </w:rPr>
              <w:t>R</w:t>
            </w:r>
            <w:r w:rsidRPr="00A14EFC">
              <w:rPr>
                <w:rFonts w:ascii="Calibri" w:hAnsi="Calibri" w:cs="Times New Roman"/>
                <w:bCs/>
                <w:color w:val="auto"/>
              </w:rPr>
              <w:t xml:space="preserve">evision, </w:t>
            </w:r>
            <w:r w:rsidR="008C17EB" w:rsidRPr="00A14EFC">
              <w:rPr>
                <w:rFonts w:ascii="Calibri" w:hAnsi="Calibri" w:cs="Times New Roman"/>
                <w:bCs/>
                <w:color w:val="auto"/>
              </w:rPr>
              <w:t>D</w:t>
            </w:r>
            <w:r w:rsidRPr="00A14EFC">
              <w:rPr>
                <w:rFonts w:ascii="Calibri" w:hAnsi="Calibri" w:cs="Times New Roman"/>
                <w:bCs/>
                <w:color w:val="auto"/>
              </w:rPr>
              <w:t xml:space="preserve">ate, </w:t>
            </w:r>
            <w:r w:rsidR="008C17EB" w:rsidRPr="00A14EFC">
              <w:rPr>
                <w:rFonts w:ascii="Calibri" w:hAnsi="Calibri" w:cs="Times New Roman"/>
                <w:bCs/>
                <w:color w:val="auto"/>
              </w:rPr>
              <w:t>P</w:t>
            </w:r>
            <w:r w:rsidRPr="00A14EFC">
              <w:rPr>
                <w:rFonts w:ascii="Calibri" w:hAnsi="Calibri" w:cs="Times New Roman"/>
                <w:bCs/>
                <w:color w:val="auto"/>
              </w:rPr>
              <w:t xml:space="preserve">age(s), </w:t>
            </w:r>
            <w:r w:rsidR="008C17EB" w:rsidRPr="00A14EFC">
              <w:rPr>
                <w:rFonts w:ascii="Calibri" w:hAnsi="Calibri" w:cs="Times New Roman"/>
                <w:bCs/>
                <w:color w:val="auto"/>
              </w:rPr>
              <w:t>S</w:t>
            </w:r>
            <w:r w:rsidRPr="00A14EFC">
              <w:rPr>
                <w:rFonts w:ascii="Calibri" w:hAnsi="Calibri" w:cs="Times New Roman"/>
                <w:bCs/>
                <w:color w:val="auto"/>
              </w:rPr>
              <w:t>ection</w:t>
            </w:r>
            <w:r w:rsidR="008C17EB" w:rsidRPr="00A14EFC">
              <w:rPr>
                <w:rFonts w:ascii="Calibri" w:hAnsi="Calibri" w:cs="Times New Roman"/>
                <w:bCs/>
                <w:color w:val="auto"/>
              </w:rPr>
              <w:t>(s)</w:t>
            </w:r>
            <w:r w:rsidRPr="00A14EFC">
              <w:rPr>
                <w:rFonts w:ascii="Calibri" w:hAnsi="Calibri" w:cs="Times New Roman"/>
                <w:bCs/>
                <w:color w:val="auto"/>
              </w:rPr>
              <w:t xml:space="preserve">, </w:t>
            </w:r>
            <w:r w:rsidR="008C17EB" w:rsidRPr="00A14EFC">
              <w:rPr>
                <w:rFonts w:ascii="Calibri" w:hAnsi="Calibri" w:cs="Times New Roman"/>
                <w:bCs/>
                <w:color w:val="auto"/>
              </w:rPr>
              <w:t>S</w:t>
            </w:r>
            <w:r w:rsidRPr="00A14EFC">
              <w:rPr>
                <w:rFonts w:ascii="Calibri" w:hAnsi="Calibri" w:cs="Times New Roman"/>
                <w:bCs/>
                <w:color w:val="auto"/>
              </w:rPr>
              <w:t xml:space="preserve">ection </w:t>
            </w:r>
            <w:r w:rsidR="008C17EB" w:rsidRPr="00A14EFC">
              <w:rPr>
                <w:rFonts w:ascii="Calibri" w:hAnsi="Calibri" w:cs="Times New Roman"/>
                <w:bCs/>
                <w:color w:val="auto"/>
              </w:rPr>
              <w:t>T</w:t>
            </w:r>
            <w:r w:rsidRPr="00A14EFC">
              <w:rPr>
                <w:rFonts w:ascii="Calibri" w:hAnsi="Calibri" w:cs="Times New Roman"/>
                <w:bCs/>
                <w:color w:val="auto"/>
              </w:rPr>
              <w:t>itle</w:t>
            </w:r>
            <w:r w:rsidR="008C17EB" w:rsidRPr="00A14EFC">
              <w:rPr>
                <w:rFonts w:ascii="Calibri" w:hAnsi="Calibri" w:cs="Times New Roman"/>
                <w:bCs/>
                <w:color w:val="auto"/>
              </w:rPr>
              <w:t>(s)</w:t>
            </w:r>
            <w:r w:rsidRPr="00A14EFC">
              <w:rPr>
                <w:rFonts w:ascii="Calibri" w:hAnsi="Calibri" w:cs="Times New Roman"/>
                <w:bCs/>
                <w:color w:val="auto"/>
              </w:rPr>
              <w:t xml:space="preserve">, </w:t>
            </w:r>
            <w:r w:rsidRPr="00A14EFC">
              <w:rPr>
                <w:rFonts w:ascii="Calibri" w:hAnsi="Calibri" w:cs="Times New Roman"/>
                <w:bCs/>
                <w:color w:val="auto"/>
              </w:rPr>
              <w:tab/>
            </w:r>
            <w:r w:rsidR="008C17EB" w:rsidRPr="00A14EFC">
              <w:rPr>
                <w:rFonts w:ascii="Calibri" w:hAnsi="Calibri" w:cs="Times New Roman"/>
                <w:bCs/>
                <w:color w:val="auto"/>
              </w:rPr>
              <w:t>D</w:t>
            </w:r>
            <w:r w:rsidRPr="00A14EFC">
              <w:rPr>
                <w:rFonts w:ascii="Calibri" w:hAnsi="Calibri" w:cs="Times New Roman"/>
                <w:bCs/>
                <w:color w:val="auto"/>
              </w:rPr>
              <w:t>escription</w:t>
            </w:r>
          </w:p>
        </w:tc>
      </w:tr>
      <w:tr w:rsidR="00AB7D5B" w:rsidRPr="006C43BC" w14:paraId="66FF2254" w14:textId="77777777" w:rsidTr="00A14EFC">
        <w:tc>
          <w:tcPr>
            <w:tcW w:w="11016" w:type="dxa"/>
          </w:tcPr>
          <w:p w14:paraId="74F1455E" w14:textId="77777777" w:rsidR="00AB7D5B" w:rsidRPr="00A14EFC" w:rsidRDefault="00AB7D5B" w:rsidP="00A14EFC">
            <w:pPr>
              <w:widowControl w:val="0"/>
              <w:jc w:val="both"/>
              <w:rPr>
                <w:rFonts w:ascii="Calibri" w:hAnsi="Calibri" w:cs="Times New Roman"/>
                <w:color w:val="0070C0"/>
              </w:rPr>
            </w:pPr>
          </w:p>
        </w:tc>
      </w:tr>
      <w:tr w:rsidR="008C17EB" w:rsidRPr="006C43BC" w14:paraId="55F02DDD" w14:textId="77777777" w:rsidTr="00A14EFC">
        <w:tc>
          <w:tcPr>
            <w:tcW w:w="11016" w:type="dxa"/>
          </w:tcPr>
          <w:p w14:paraId="64D4E208" w14:textId="77777777" w:rsidR="008C17EB" w:rsidRPr="00A14EFC" w:rsidRDefault="008C17EB" w:rsidP="00A14EFC">
            <w:pPr>
              <w:widowControl w:val="0"/>
              <w:jc w:val="both"/>
              <w:rPr>
                <w:rFonts w:ascii="Calibri" w:hAnsi="Calibri" w:cs="Times New Roman"/>
                <w:color w:val="0070C0"/>
              </w:rPr>
            </w:pPr>
          </w:p>
        </w:tc>
      </w:tr>
      <w:tr w:rsidR="008C17EB" w:rsidRPr="006C43BC" w14:paraId="2BA04774" w14:textId="77777777" w:rsidTr="00A14EFC">
        <w:tc>
          <w:tcPr>
            <w:tcW w:w="11016" w:type="dxa"/>
          </w:tcPr>
          <w:p w14:paraId="7A1C52C5" w14:textId="77777777" w:rsidR="008C17EB" w:rsidRPr="00A14EFC" w:rsidRDefault="008C17EB" w:rsidP="00A14EFC">
            <w:pPr>
              <w:widowControl w:val="0"/>
              <w:jc w:val="both"/>
              <w:rPr>
                <w:rFonts w:ascii="Calibri" w:hAnsi="Calibri" w:cs="Times New Roman"/>
                <w:color w:val="0070C0"/>
              </w:rPr>
            </w:pPr>
          </w:p>
        </w:tc>
      </w:tr>
    </w:tbl>
    <w:p w14:paraId="3EE1F898" w14:textId="77777777" w:rsidR="00AB7D5B" w:rsidRPr="006C43BC" w:rsidRDefault="00AB7D5B" w:rsidP="00EC4830">
      <w:pPr>
        <w:widowControl w:val="0"/>
        <w:rPr>
          <w:rFonts w:ascii="Calibri" w:hAnsi="Calibri" w:cs="Times New Roman"/>
        </w:rPr>
      </w:pPr>
    </w:p>
    <w:p w14:paraId="7E0AB5AF" w14:textId="77777777" w:rsidR="006C43BC" w:rsidRPr="006C43BC" w:rsidRDefault="006C43BC" w:rsidP="00EC4830">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FE1251" w:rsidRPr="006C43BC" w14:paraId="31B04FA6" w14:textId="77777777" w:rsidTr="00A14EFC">
        <w:tc>
          <w:tcPr>
            <w:tcW w:w="11016" w:type="dxa"/>
            <w:shd w:val="clear" w:color="auto" w:fill="D9D9D9"/>
          </w:tcPr>
          <w:p w14:paraId="7BE8EBF0" w14:textId="77777777" w:rsidR="00FE1251" w:rsidRPr="00A14EFC" w:rsidRDefault="00FE1251" w:rsidP="00A14EFC">
            <w:pPr>
              <w:widowControl w:val="0"/>
              <w:rPr>
                <w:rFonts w:ascii="Calibri" w:hAnsi="Calibri" w:cs="Times New Roman"/>
              </w:rPr>
            </w:pPr>
          </w:p>
        </w:tc>
      </w:tr>
      <w:tr w:rsidR="007E3754" w:rsidRPr="006C43BC" w14:paraId="2CEDDB1A" w14:textId="77777777" w:rsidTr="00A14EFC">
        <w:tc>
          <w:tcPr>
            <w:tcW w:w="11016" w:type="dxa"/>
            <w:shd w:val="clear" w:color="auto" w:fill="D9D9D9"/>
          </w:tcPr>
          <w:p w14:paraId="53EC57B7" w14:textId="77777777" w:rsidR="007E3754" w:rsidRPr="00A14EFC" w:rsidRDefault="007E3754" w:rsidP="00A14EFC">
            <w:pPr>
              <w:widowControl w:val="0"/>
              <w:rPr>
                <w:rFonts w:ascii="Calibri" w:hAnsi="Calibri" w:cs="Times New Roman"/>
              </w:rPr>
            </w:pPr>
          </w:p>
        </w:tc>
      </w:tr>
      <w:tr w:rsidR="007E3754" w:rsidRPr="006C43BC" w14:paraId="314DAB55" w14:textId="77777777" w:rsidTr="00A14EFC">
        <w:tc>
          <w:tcPr>
            <w:tcW w:w="11016" w:type="dxa"/>
            <w:shd w:val="clear" w:color="auto" w:fill="D9D9D9"/>
          </w:tcPr>
          <w:p w14:paraId="3BFB4332" w14:textId="77777777" w:rsidR="007E3754" w:rsidRPr="00A14EFC" w:rsidRDefault="007E3754" w:rsidP="00A14EFC">
            <w:pPr>
              <w:widowControl w:val="0"/>
              <w:rPr>
                <w:rFonts w:ascii="Calibri" w:hAnsi="Calibri" w:cs="Times New Roman"/>
              </w:rPr>
            </w:pPr>
          </w:p>
        </w:tc>
      </w:tr>
    </w:tbl>
    <w:p w14:paraId="0BB2B160" w14:textId="77777777" w:rsidR="00FE1251" w:rsidRPr="006C43BC" w:rsidRDefault="00FE1251" w:rsidP="00EC4830">
      <w:pPr>
        <w:widowControl w:val="0"/>
        <w:rPr>
          <w:rFonts w:ascii="Calibri" w:hAnsi="Calibri" w:cs="Times New Roman"/>
        </w:rPr>
      </w:pPr>
    </w:p>
    <w:p w14:paraId="614B6D04" w14:textId="77777777" w:rsidR="002A73FC" w:rsidRPr="00501FCB" w:rsidRDefault="002A73FC" w:rsidP="009F14D6">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906E1F">
        <w:rPr>
          <w:rFonts w:ascii="Calibri" w:hAnsi="Calibri"/>
          <w:b/>
        </w:rPr>
        <w:t xml:space="preserve">Compliance Assessment Approach Specific to </w:t>
      </w:r>
      <w:r w:rsidR="00906E1F">
        <w:rPr>
          <w:rFonts w:ascii="Calibri" w:hAnsi="Calibri"/>
          <w:b/>
        </w:rPr>
        <w:t>FAC-013-2</w:t>
      </w:r>
      <w:r w:rsidR="00F36A82" w:rsidRPr="00906E1F">
        <w:rPr>
          <w:rFonts w:ascii="Calibri" w:hAnsi="Calibri"/>
          <w:b/>
        </w:rPr>
        <w:t>, R</w:t>
      </w:r>
      <w:r w:rsidRPr="00906E1F">
        <w:rPr>
          <w:rFonts w:ascii="Calibri" w:hAnsi="Calibri"/>
          <w:b/>
        </w:rPr>
        <w:t>1</w:t>
      </w:r>
    </w:p>
    <w:p w14:paraId="25A214B0" w14:textId="77777777" w:rsidR="001D4564" w:rsidRPr="00BA39D3" w:rsidRDefault="00BA39D3" w:rsidP="001D52A5">
      <w:pPr>
        <w:tabs>
          <w:tab w:val="left" w:pos="1080"/>
        </w:tabs>
        <w:rPr>
          <w:rFonts w:ascii="Calibri" w:hAnsi="Calibri"/>
          <w:b/>
          <w:color w:val="FF0000"/>
          <w:sz w:val="22"/>
        </w:rPr>
      </w:pPr>
      <w:r w:rsidRPr="00BA39D3">
        <w:rPr>
          <w:rFonts w:ascii="Calibri" w:hAnsi="Calibri"/>
          <w:b/>
          <w:color w:val="FF0000"/>
          <w:sz w:val="22"/>
        </w:rPr>
        <w:t>(</w:t>
      </w:r>
      <w:r w:rsidR="003379A2" w:rsidRPr="00BA39D3">
        <w:rPr>
          <w:rFonts w:ascii="Calibri" w:hAnsi="Calibri"/>
          <w:b/>
          <w:color w:val="FF0000"/>
          <w:sz w:val="22"/>
        </w:rPr>
        <w:t>This section must be completed by the Complia</w:t>
      </w:r>
      <w:r w:rsidR="00A07D34" w:rsidRPr="00BA39D3">
        <w:rPr>
          <w:rFonts w:ascii="Calibri" w:hAnsi="Calibri"/>
          <w:b/>
          <w:color w:val="FF0000"/>
          <w:sz w:val="22"/>
        </w:rPr>
        <w:t>nce Enforcement Authority</w:t>
      </w:r>
      <w:r w:rsidRPr="00BA39D3">
        <w:rPr>
          <w:rFonts w:ascii="Calibri" w:hAnsi="Calibri"/>
          <w:b/>
          <w:color w:val="FF0000"/>
          <w:sz w:val="22"/>
        </w:rPr>
        <w:t>)</w:t>
      </w:r>
    </w:p>
    <w:p w14:paraId="56005C6F" w14:textId="77777777" w:rsidR="001D4564" w:rsidRPr="006C43BC" w:rsidRDefault="002A73FC" w:rsidP="00394AB6">
      <w:pPr>
        <w:widowControl w:val="0"/>
        <w:tabs>
          <w:tab w:val="left" w:pos="0"/>
          <w:tab w:val="left" w:pos="900"/>
          <w:tab w:val="left" w:pos="6360"/>
        </w:tabs>
        <w:rPr>
          <w:rFonts w:ascii="Calibri" w:hAnsi="Calibri" w:cs="Times New Roman"/>
          <w:iCs/>
        </w:rPr>
      </w:pPr>
      <w:r w:rsidRPr="006C43BC">
        <w:rPr>
          <w:rFonts w:ascii="Calibri" w:hAnsi="Calibri" w:cs="Times New Roman"/>
          <w:iCs/>
        </w:rPr>
        <w:t>Review the evidence to verify</w:t>
      </w:r>
      <w:r w:rsidR="00A71EEA" w:rsidRPr="006C43BC">
        <w:rPr>
          <w:rFonts w:ascii="Calibri" w:hAnsi="Calibri" w:cs="Times New Roman"/>
          <w:iCs/>
        </w:rPr>
        <w:t xml:space="preserve"> the </w:t>
      </w:r>
      <w:r w:rsidR="00A07D34" w:rsidRPr="006C43BC">
        <w:rPr>
          <w:rFonts w:ascii="Calibri" w:hAnsi="Calibri" w:cs="Times New Roman"/>
          <w:iCs/>
        </w:rPr>
        <w:t>Registered E</w:t>
      </w:r>
      <w:r w:rsidR="00A71EEA" w:rsidRPr="006C43BC">
        <w:rPr>
          <w:rFonts w:ascii="Calibri" w:hAnsi="Calibri" w:cs="Times New Roman"/>
          <w:iCs/>
        </w:rPr>
        <w:t>ntity</w:t>
      </w:r>
      <w:r w:rsidRPr="006C43BC">
        <w:rPr>
          <w:rFonts w:ascii="Calibri" w:hAnsi="Calibri" w:cs="Times New Roman"/>
          <w:iCs/>
        </w:rPr>
        <w:t xml:space="preserve"> has:</w:t>
      </w:r>
      <w:r w:rsidR="00A07D34" w:rsidRPr="006C43BC">
        <w:rPr>
          <w:rFonts w:ascii="Calibri" w:hAnsi="Calibri" w:cs="Times New Roman"/>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1D4564" w:rsidRPr="006C43BC" w14:paraId="29D0BE42" w14:textId="77777777" w:rsidTr="00A14EFC">
        <w:tc>
          <w:tcPr>
            <w:tcW w:w="378" w:type="dxa"/>
          </w:tcPr>
          <w:p w14:paraId="66E6E683" w14:textId="77777777" w:rsidR="001D4564" w:rsidRPr="00637520" w:rsidRDefault="001D4564" w:rsidP="00637520">
            <w:pPr>
              <w:widowControl w:val="0"/>
              <w:tabs>
                <w:tab w:val="left" w:pos="0"/>
                <w:tab w:val="left" w:pos="900"/>
                <w:tab w:val="left" w:pos="6360"/>
              </w:tabs>
              <w:rPr>
                <w:rFonts w:ascii="Calibri" w:hAnsi="Calibri" w:cs="Times New Roman"/>
                <w:color w:val="auto"/>
              </w:rPr>
            </w:pPr>
          </w:p>
        </w:tc>
        <w:tc>
          <w:tcPr>
            <w:tcW w:w="10638" w:type="dxa"/>
          </w:tcPr>
          <w:p w14:paraId="432627C6" w14:textId="77777777" w:rsidR="001D4564" w:rsidRPr="00637520" w:rsidRDefault="00637520" w:rsidP="00637520">
            <w:pPr>
              <w:widowControl w:val="0"/>
              <w:tabs>
                <w:tab w:val="left" w:pos="0"/>
                <w:tab w:val="left" w:pos="900"/>
                <w:tab w:val="left" w:pos="6360"/>
              </w:tabs>
              <w:rPr>
                <w:rFonts w:ascii="Calibri" w:hAnsi="Calibri" w:cs="Times New Roman"/>
                <w:color w:val="auto"/>
              </w:rPr>
            </w:pPr>
            <w:r w:rsidRPr="00637520">
              <w:rPr>
                <w:rFonts w:ascii="Calibri" w:hAnsi="Calibri" w:cs="Times New Roman"/>
                <w:color w:val="auto"/>
              </w:rPr>
              <w:t>Verify the entity has a documented methodology it uses to perform an annual assessment of Transfer Capability in the Near-Term Transmission Planning Horizon (Transfer Capability methodology)</w:t>
            </w:r>
            <w:r>
              <w:rPr>
                <w:rFonts w:ascii="Calibri" w:hAnsi="Calibri" w:cs="Times New Roman"/>
                <w:color w:val="auto"/>
              </w:rPr>
              <w:t>.</w:t>
            </w:r>
          </w:p>
        </w:tc>
      </w:tr>
      <w:tr w:rsidR="00345FA1" w:rsidRPr="006C43BC" w14:paraId="7161FBF1" w14:textId="77777777" w:rsidTr="00637520">
        <w:trPr>
          <w:trHeight w:val="332"/>
        </w:trPr>
        <w:tc>
          <w:tcPr>
            <w:tcW w:w="378" w:type="dxa"/>
          </w:tcPr>
          <w:p w14:paraId="481FAFF6" w14:textId="77777777" w:rsidR="00345FA1" w:rsidRPr="00637520" w:rsidRDefault="00345FA1" w:rsidP="00637520">
            <w:pPr>
              <w:widowControl w:val="0"/>
              <w:tabs>
                <w:tab w:val="left" w:pos="0"/>
                <w:tab w:val="left" w:pos="900"/>
                <w:tab w:val="left" w:pos="6360"/>
              </w:tabs>
              <w:rPr>
                <w:rFonts w:ascii="Calibri" w:hAnsi="Calibri" w:cs="Times New Roman"/>
                <w:color w:val="auto"/>
              </w:rPr>
            </w:pPr>
          </w:p>
        </w:tc>
        <w:tc>
          <w:tcPr>
            <w:tcW w:w="10638" w:type="dxa"/>
          </w:tcPr>
          <w:p w14:paraId="02AE3CDF" w14:textId="77777777" w:rsidR="00345FA1" w:rsidRPr="00A14EFC" w:rsidRDefault="00637520" w:rsidP="00637520">
            <w:pPr>
              <w:widowControl w:val="0"/>
              <w:spacing w:after="120"/>
              <w:rPr>
                <w:rFonts w:ascii="Calibri" w:hAnsi="Calibri" w:cs="Times New Roman"/>
                <w:color w:val="auto"/>
              </w:rPr>
            </w:pPr>
            <w:r w:rsidRPr="00637520">
              <w:rPr>
                <w:rFonts w:ascii="Calibri" w:hAnsi="Calibri" w:cs="Times New Roman"/>
                <w:color w:val="auto"/>
              </w:rPr>
              <w:t>Verify the Transfer Capability methodology includes, at a minimum, the following information:</w:t>
            </w:r>
          </w:p>
        </w:tc>
      </w:tr>
      <w:tr w:rsidR="007D4D88" w:rsidRPr="00906E1F" w14:paraId="3136EF96" w14:textId="77777777" w:rsidTr="00A14EFC">
        <w:tc>
          <w:tcPr>
            <w:tcW w:w="378" w:type="dxa"/>
            <w:tcBorders>
              <w:bottom w:val="single" w:sz="4" w:space="0" w:color="auto"/>
            </w:tcBorders>
          </w:tcPr>
          <w:p w14:paraId="570B50F3" w14:textId="77777777" w:rsidR="007D4D88" w:rsidRPr="00637520" w:rsidRDefault="007D4D88" w:rsidP="00637520">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14:paraId="682D698B" w14:textId="77777777" w:rsidR="007D4D88" w:rsidRPr="00637520" w:rsidRDefault="00906E1F" w:rsidP="00637520">
            <w:pPr>
              <w:widowControl w:val="0"/>
              <w:tabs>
                <w:tab w:val="left" w:pos="0"/>
                <w:tab w:val="left" w:pos="900"/>
                <w:tab w:val="left" w:pos="6360"/>
              </w:tabs>
              <w:rPr>
                <w:rFonts w:ascii="Calibri" w:hAnsi="Calibri" w:cs="Times New Roman"/>
                <w:color w:val="auto"/>
              </w:rPr>
            </w:pPr>
            <w:r w:rsidRPr="00637520">
              <w:rPr>
                <w:rFonts w:ascii="Calibri" w:hAnsi="Calibri" w:cs="Times New Roman"/>
                <w:color w:val="auto"/>
              </w:rPr>
              <w:t>Criteria for the selection of the transfers to be assessed</w:t>
            </w:r>
            <w:r w:rsidR="00637520">
              <w:rPr>
                <w:rFonts w:ascii="Calibri" w:hAnsi="Calibri" w:cs="Times New Roman"/>
                <w:color w:val="auto"/>
              </w:rPr>
              <w:t>.</w:t>
            </w:r>
          </w:p>
        </w:tc>
      </w:tr>
      <w:tr w:rsidR="00906E1F" w:rsidRPr="00906E1F" w14:paraId="349EA8B9" w14:textId="77777777" w:rsidTr="00906E1F">
        <w:tc>
          <w:tcPr>
            <w:tcW w:w="378" w:type="dxa"/>
            <w:tcBorders>
              <w:bottom w:val="single" w:sz="4" w:space="0" w:color="auto"/>
            </w:tcBorders>
          </w:tcPr>
          <w:p w14:paraId="23920B29" w14:textId="77777777" w:rsidR="00906E1F" w:rsidRPr="00637520" w:rsidRDefault="00906E1F" w:rsidP="00637520">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14:paraId="34C2EA2E" w14:textId="77777777" w:rsidR="00906E1F" w:rsidRPr="00637520" w:rsidRDefault="00637520" w:rsidP="00637520">
            <w:pPr>
              <w:widowControl w:val="0"/>
              <w:tabs>
                <w:tab w:val="left" w:pos="0"/>
                <w:tab w:val="left" w:pos="900"/>
                <w:tab w:val="left" w:pos="6360"/>
              </w:tabs>
              <w:rPr>
                <w:rFonts w:ascii="Calibri" w:hAnsi="Calibri" w:cs="Times New Roman"/>
                <w:color w:val="auto"/>
              </w:rPr>
            </w:pPr>
            <w:r w:rsidRPr="00637520">
              <w:rPr>
                <w:rFonts w:ascii="Calibri" w:hAnsi="Calibri" w:cs="Times New Roman"/>
                <w:color w:val="auto"/>
              </w:rPr>
              <w:t>A statement that the assessment shall respect known System Operating Limits (SOLs)</w:t>
            </w:r>
            <w:r>
              <w:rPr>
                <w:rFonts w:ascii="Calibri" w:hAnsi="Calibri" w:cs="Times New Roman"/>
                <w:color w:val="auto"/>
              </w:rPr>
              <w:t>.</w:t>
            </w:r>
          </w:p>
        </w:tc>
      </w:tr>
      <w:tr w:rsidR="00906E1F" w:rsidRPr="00906E1F" w14:paraId="1B2085E0" w14:textId="77777777" w:rsidTr="00906E1F">
        <w:tc>
          <w:tcPr>
            <w:tcW w:w="378" w:type="dxa"/>
            <w:tcBorders>
              <w:bottom w:val="single" w:sz="4" w:space="0" w:color="auto"/>
            </w:tcBorders>
          </w:tcPr>
          <w:p w14:paraId="45BB9C05" w14:textId="77777777" w:rsidR="00906E1F" w:rsidRPr="00637520" w:rsidRDefault="00906E1F" w:rsidP="00637520">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14:paraId="495D4B5A" w14:textId="77777777" w:rsidR="00906E1F" w:rsidRPr="00637520" w:rsidRDefault="00637520" w:rsidP="00637520">
            <w:pPr>
              <w:widowControl w:val="0"/>
              <w:spacing w:after="120"/>
              <w:rPr>
                <w:rFonts w:ascii="Calibri" w:hAnsi="Calibri" w:cs="Times New Roman"/>
                <w:color w:val="auto"/>
              </w:rPr>
            </w:pPr>
            <w:r w:rsidRPr="00637520">
              <w:rPr>
                <w:rFonts w:ascii="Calibri" w:hAnsi="Calibri" w:cs="Times New Roman"/>
                <w:color w:val="auto"/>
              </w:rPr>
              <w:t>A statement that the assumptions and criteria used to perform the assessment are consistent with the Planning Coordinator’s planning practices</w:t>
            </w:r>
            <w:r>
              <w:rPr>
                <w:rFonts w:ascii="Calibri" w:hAnsi="Calibri" w:cs="Times New Roman"/>
                <w:color w:val="auto"/>
              </w:rPr>
              <w:t>.</w:t>
            </w:r>
          </w:p>
        </w:tc>
      </w:tr>
      <w:tr w:rsidR="00906E1F" w:rsidRPr="00906E1F" w14:paraId="4D40B4E6" w14:textId="77777777" w:rsidTr="00906E1F">
        <w:tc>
          <w:tcPr>
            <w:tcW w:w="378" w:type="dxa"/>
            <w:tcBorders>
              <w:bottom w:val="single" w:sz="4" w:space="0" w:color="auto"/>
            </w:tcBorders>
          </w:tcPr>
          <w:p w14:paraId="49BCB578" w14:textId="77777777" w:rsidR="00906E1F" w:rsidRPr="00637520" w:rsidRDefault="00906E1F" w:rsidP="00637520">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14:paraId="678AA74A" w14:textId="77777777" w:rsidR="00906E1F" w:rsidRPr="00637520" w:rsidRDefault="00637520" w:rsidP="00637520">
            <w:pPr>
              <w:widowControl w:val="0"/>
              <w:tabs>
                <w:tab w:val="left" w:pos="0"/>
                <w:tab w:val="left" w:pos="900"/>
                <w:tab w:val="left" w:pos="6360"/>
              </w:tabs>
              <w:rPr>
                <w:rFonts w:ascii="Calibri" w:hAnsi="Calibri" w:cs="Times New Roman"/>
                <w:color w:val="auto"/>
              </w:rPr>
            </w:pPr>
            <w:r w:rsidRPr="00637520">
              <w:rPr>
                <w:rFonts w:ascii="Calibri" w:hAnsi="Calibri" w:cs="Times New Roman"/>
                <w:color w:val="auto"/>
              </w:rPr>
              <w:t>A description of how each of the following assumptions and criteria used in performing the assessment are addressed:</w:t>
            </w:r>
          </w:p>
        </w:tc>
      </w:tr>
      <w:tr w:rsidR="00906E1F" w:rsidRPr="00906E1F" w14:paraId="2BBD1258" w14:textId="77777777" w:rsidTr="00906E1F">
        <w:tc>
          <w:tcPr>
            <w:tcW w:w="378" w:type="dxa"/>
            <w:tcBorders>
              <w:bottom w:val="single" w:sz="4" w:space="0" w:color="auto"/>
            </w:tcBorders>
          </w:tcPr>
          <w:p w14:paraId="4668AE6D" w14:textId="77777777" w:rsidR="00906E1F" w:rsidRPr="00637520" w:rsidRDefault="00906E1F" w:rsidP="00637520">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14:paraId="38F86164" w14:textId="77777777" w:rsidR="00906E1F" w:rsidRPr="00637520" w:rsidRDefault="00637520" w:rsidP="00637520">
            <w:pPr>
              <w:widowControl w:val="0"/>
              <w:tabs>
                <w:tab w:val="left" w:pos="0"/>
                <w:tab w:val="left" w:pos="900"/>
                <w:tab w:val="left" w:pos="6360"/>
              </w:tabs>
              <w:rPr>
                <w:rFonts w:ascii="Calibri" w:hAnsi="Calibri" w:cs="Times New Roman"/>
                <w:color w:val="auto"/>
              </w:rPr>
            </w:pPr>
            <w:r w:rsidRPr="00637520">
              <w:rPr>
                <w:rFonts w:ascii="Calibri" w:hAnsi="Calibri" w:cs="Times New Roman"/>
                <w:color w:val="auto"/>
              </w:rPr>
              <w:t>Generation dispatch, including but not limited to long term planned outages, additions and retirements</w:t>
            </w:r>
            <w:r>
              <w:rPr>
                <w:rFonts w:ascii="Calibri" w:hAnsi="Calibri" w:cs="Times New Roman"/>
                <w:color w:val="auto"/>
              </w:rPr>
              <w:t>.</w:t>
            </w:r>
          </w:p>
        </w:tc>
      </w:tr>
      <w:tr w:rsidR="00906E1F" w:rsidRPr="00906E1F" w14:paraId="1401C136" w14:textId="77777777" w:rsidTr="00906E1F">
        <w:tc>
          <w:tcPr>
            <w:tcW w:w="378" w:type="dxa"/>
            <w:tcBorders>
              <w:bottom w:val="single" w:sz="4" w:space="0" w:color="auto"/>
            </w:tcBorders>
          </w:tcPr>
          <w:p w14:paraId="0F758BB8" w14:textId="77777777" w:rsidR="00906E1F" w:rsidRPr="00637520" w:rsidRDefault="00906E1F" w:rsidP="00637520">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14:paraId="2B7DCBD7" w14:textId="77777777" w:rsidR="00906E1F" w:rsidRPr="00637520" w:rsidRDefault="00637520" w:rsidP="00637520">
            <w:pPr>
              <w:widowControl w:val="0"/>
              <w:tabs>
                <w:tab w:val="left" w:pos="0"/>
                <w:tab w:val="left" w:pos="900"/>
                <w:tab w:val="left" w:pos="6360"/>
              </w:tabs>
              <w:rPr>
                <w:rFonts w:ascii="Calibri" w:hAnsi="Calibri" w:cs="Times New Roman"/>
                <w:color w:val="auto"/>
              </w:rPr>
            </w:pPr>
            <w:r w:rsidRPr="00637520">
              <w:rPr>
                <w:rFonts w:ascii="Calibri" w:hAnsi="Calibri" w:cs="Times New Roman"/>
                <w:color w:val="auto"/>
              </w:rPr>
              <w:t>Transmission system topology, including but not limited to long term planned Transmission outages, additions, and retirements</w:t>
            </w:r>
            <w:r>
              <w:rPr>
                <w:rFonts w:ascii="Calibri" w:hAnsi="Calibri" w:cs="Times New Roman"/>
                <w:color w:val="auto"/>
              </w:rPr>
              <w:t>.</w:t>
            </w:r>
          </w:p>
        </w:tc>
      </w:tr>
      <w:tr w:rsidR="00906E1F" w:rsidRPr="00906E1F" w14:paraId="004F95C0" w14:textId="77777777" w:rsidTr="00A14EFC">
        <w:tc>
          <w:tcPr>
            <w:tcW w:w="378" w:type="dxa"/>
            <w:tcBorders>
              <w:bottom w:val="single" w:sz="4" w:space="0" w:color="auto"/>
            </w:tcBorders>
          </w:tcPr>
          <w:p w14:paraId="225E00BF" w14:textId="77777777" w:rsidR="00906E1F" w:rsidRPr="00637520" w:rsidRDefault="00906E1F" w:rsidP="00637520">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14:paraId="0B4F67D9" w14:textId="77777777" w:rsidR="00906E1F" w:rsidRPr="00637520" w:rsidRDefault="00637520" w:rsidP="00637520">
            <w:pPr>
              <w:widowControl w:val="0"/>
              <w:tabs>
                <w:tab w:val="left" w:pos="0"/>
                <w:tab w:val="left" w:pos="900"/>
                <w:tab w:val="left" w:pos="6360"/>
              </w:tabs>
              <w:rPr>
                <w:rFonts w:ascii="Calibri" w:hAnsi="Calibri" w:cs="Times New Roman"/>
                <w:color w:val="auto"/>
              </w:rPr>
            </w:pPr>
            <w:r w:rsidRPr="00637520">
              <w:rPr>
                <w:rFonts w:ascii="Calibri" w:hAnsi="Calibri" w:cs="Times New Roman"/>
                <w:color w:val="auto"/>
              </w:rPr>
              <w:t>System demand</w:t>
            </w:r>
            <w:r>
              <w:rPr>
                <w:rFonts w:ascii="Calibri" w:hAnsi="Calibri" w:cs="Times New Roman"/>
                <w:color w:val="auto"/>
              </w:rPr>
              <w:t>.</w:t>
            </w:r>
          </w:p>
        </w:tc>
      </w:tr>
      <w:tr w:rsidR="00906E1F" w:rsidRPr="00906E1F" w14:paraId="08797DD3" w14:textId="77777777" w:rsidTr="00A14EFC">
        <w:tc>
          <w:tcPr>
            <w:tcW w:w="378" w:type="dxa"/>
            <w:tcBorders>
              <w:bottom w:val="single" w:sz="4" w:space="0" w:color="auto"/>
            </w:tcBorders>
          </w:tcPr>
          <w:p w14:paraId="083096C8" w14:textId="77777777" w:rsidR="00906E1F" w:rsidRPr="00637520" w:rsidRDefault="00906E1F" w:rsidP="00637520">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14:paraId="4B153AB1" w14:textId="77777777" w:rsidR="00906E1F" w:rsidRPr="00637520" w:rsidRDefault="00637520" w:rsidP="00637520">
            <w:pPr>
              <w:widowControl w:val="0"/>
              <w:tabs>
                <w:tab w:val="left" w:pos="0"/>
                <w:tab w:val="left" w:pos="900"/>
                <w:tab w:val="left" w:pos="6360"/>
              </w:tabs>
              <w:rPr>
                <w:rFonts w:ascii="Calibri" w:hAnsi="Calibri" w:cs="Times New Roman"/>
                <w:color w:val="auto"/>
              </w:rPr>
            </w:pPr>
            <w:r w:rsidRPr="00637520">
              <w:rPr>
                <w:rFonts w:ascii="Calibri" w:hAnsi="Calibri" w:cs="Times New Roman"/>
                <w:color w:val="auto"/>
              </w:rPr>
              <w:t>Current approved and projected Transmission uses</w:t>
            </w:r>
            <w:r>
              <w:rPr>
                <w:rFonts w:ascii="Calibri" w:hAnsi="Calibri" w:cs="Times New Roman"/>
                <w:color w:val="auto"/>
              </w:rPr>
              <w:t>.</w:t>
            </w:r>
          </w:p>
        </w:tc>
      </w:tr>
      <w:tr w:rsidR="00906E1F" w:rsidRPr="00906E1F" w14:paraId="2E218434" w14:textId="77777777" w:rsidTr="00A14EFC">
        <w:tc>
          <w:tcPr>
            <w:tcW w:w="378" w:type="dxa"/>
            <w:tcBorders>
              <w:bottom w:val="single" w:sz="4" w:space="0" w:color="auto"/>
            </w:tcBorders>
          </w:tcPr>
          <w:p w14:paraId="37DCB090" w14:textId="77777777" w:rsidR="00906E1F" w:rsidRPr="00637520" w:rsidRDefault="00906E1F" w:rsidP="00637520">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14:paraId="286E64E6" w14:textId="77777777" w:rsidR="00906E1F" w:rsidRPr="00637520" w:rsidRDefault="00637520" w:rsidP="00637520">
            <w:pPr>
              <w:widowControl w:val="0"/>
              <w:tabs>
                <w:tab w:val="left" w:pos="0"/>
                <w:tab w:val="left" w:pos="900"/>
                <w:tab w:val="left" w:pos="6360"/>
              </w:tabs>
              <w:rPr>
                <w:rFonts w:ascii="Calibri" w:hAnsi="Calibri" w:cs="Times New Roman"/>
                <w:color w:val="auto"/>
              </w:rPr>
            </w:pPr>
            <w:r w:rsidRPr="00637520">
              <w:rPr>
                <w:rFonts w:ascii="Calibri" w:hAnsi="Calibri" w:cs="Times New Roman"/>
                <w:color w:val="auto"/>
              </w:rPr>
              <w:t>Parallel path (loop flow) adjustments</w:t>
            </w:r>
            <w:r>
              <w:rPr>
                <w:rFonts w:ascii="Calibri" w:hAnsi="Calibri" w:cs="Times New Roman"/>
                <w:color w:val="auto"/>
              </w:rPr>
              <w:t>.</w:t>
            </w:r>
          </w:p>
        </w:tc>
      </w:tr>
      <w:tr w:rsidR="00906E1F" w:rsidRPr="00906E1F" w14:paraId="5F3C94BF" w14:textId="77777777" w:rsidTr="00A14EFC">
        <w:tc>
          <w:tcPr>
            <w:tcW w:w="378" w:type="dxa"/>
            <w:tcBorders>
              <w:bottom w:val="single" w:sz="4" w:space="0" w:color="auto"/>
            </w:tcBorders>
          </w:tcPr>
          <w:p w14:paraId="56D97EA7" w14:textId="77777777" w:rsidR="00906E1F" w:rsidRPr="00637520" w:rsidRDefault="00906E1F" w:rsidP="00637520">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14:paraId="70DCBC9C" w14:textId="77777777" w:rsidR="00906E1F" w:rsidRPr="00637520" w:rsidRDefault="00637520" w:rsidP="00637520">
            <w:pPr>
              <w:widowControl w:val="0"/>
              <w:tabs>
                <w:tab w:val="left" w:pos="0"/>
                <w:tab w:val="left" w:pos="900"/>
                <w:tab w:val="left" w:pos="6360"/>
              </w:tabs>
              <w:rPr>
                <w:rFonts w:ascii="Calibri" w:hAnsi="Calibri" w:cs="Times New Roman"/>
                <w:color w:val="auto"/>
              </w:rPr>
            </w:pPr>
            <w:r w:rsidRPr="00637520">
              <w:rPr>
                <w:rFonts w:ascii="Calibri" w:hAnsi="Calibri" w:cs="Times New Roman"/>
                <w:color w:val="auto"/>
              </w:rPr>
              <w:t>Contingencies</w:t>
            </w:r>
            <w:r>
              <w:rPr>
                <w:rFonts w:ascii="Calibri" w:hAnsi="Calibri" w:cs="Times New Roman"/>
                <w:color w:val="auto"/>
              </w:rPr>
              <w:t>.</w:t>
            </w:r>
          </w:p>
        </w:tc>
      </w:tr>
      <w:tr w:rsidR="00906E1F" w:rsidRPr="00906E1F" w14:paraId="5E552493" w14:textId="77777777" w:rsidTr="00A14EFC">
        <w:tc>
          <w:tcPr>
            <w:tcW w:w="378" w:type="dxa"/>
            <w:tcBorders>
              <w:bottom w:val="single" w:sz="4" w:space="0" w:color="auto"/>
            </w:tcBorders>
          </w:tcPr>
          <w:p w14:paraId="322348C4" w14:textId="77777777" w:rsidR="00906E1F" w:rsidRPr="00637520" w:rsidRDefault="00906E1F" w:rsidP="00637520">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14:paraId="0EAB57D4" w14:textId="77777777" w:rsidR="00906E1F" w:rsidRPr="00637520" w:rsidRDefault="00637520" w:rsidP="00637520">
            <w:pPr>
              <w:widowControl w:val="0"/>
              <w:tabs>
                <w:tab w:val="left" w:pos="0"/>
                <w:tab w:val="left" w:pos="900"/>
                <w:tab w:val="left" w:pos="6360"/>
              </w:tabs>
              <w:rPr>
                <w:rFonts w:ascii="Calibri" w:hAnsi="Calibri" w:cs="Times New Roman"/>
                <w:color w:val="auto"/>
              </w:rPr>
            </w:pPr>
            <w:r w:rsidRPr="00637520">
              <w:rPr>
                <w:rFonts w:ascii="Calibri" w:hAnsi="Calibri" w:cs="Times New Roman"/>
                <w:color w:val="auto"/>
              </w:rPr>
              <w:t>Monitored Facilities</w:t>
            </w:r>
            <w:r>
              <w:rPr>
                <w:rFonts w:ascii="Calibri" w:hAnsi="Calibri" w:cs="Times New Roman"/>
                <w:color w:val="auto"/>
              </w:rPr>
              <w:t>.</w:t>
            </w:r>
          </w:p>
        </w:tc>
      </w:tr>
      <w:tr w:rsidR="00637520" w:rsidRPr="00906E1F" w14:paraId="0DE27B4C" w14:textId="77777777" w:rsidTr="00A14EFC">
        <w:tc>
          <w:tcPr>
            <w:tcW w:w="378" w:type="dxa"/>
            <w:tcBorders>
              <w:bottom w:val="single" w:sz="4" w:space="0" w:color="auto"/>
            </w:tcBorders>
          </w:tcPr>
          <w:p w14:paraId="0368FCF7" w14:textId="77777777" w:rsidR="00637520" w:rsidRPr="00637520" w:rsidRDefault="00637520" w:rsidP="00637520">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14:paraId="6DBD2FDF" w14:textId="77777777" w:rsidR="00637520" w:rsidRPr="00637520" w:rsidRDefault="00637520" w:rsidP="00637520">
            <w:pPr>
              <w:widowControl w:val="0"/>
              <w:tabs>
                <w:tab w:val="left" w:pos="0"/>
                <w:tab w:val="left" w:pos="900"/>
                <w:tab w:val="left" w:pos="6360"/>
              </w:tabs>
              <w:rPr>
                <w:rFonts w:ascii="Calibri" w:hAnsi="Calibri" w:cs="Times New Roman"/>
                <w:color w:val="auto"/>
              </w:rPr>
            </w:pPr>
            <w:r w:rsidRPr="00637520">
              <w:rPr>
                <w:rFonts w:ascii="Calibri" w:hAnsi="Calibri" w:cs="Times New Roman"/>
                <w:color w:val="auto"/>
              </w:rPr>
              <w:t>A description of how simulations of transfers are performed through the adjustment of generation, Load or both</w:t>
            </w:r>
            <w:r>
              <w:rPr>
                <w:rFonts w:ascii="Calibri" w:hAnsi="Calibri" w:cs="Times New Roman"/>
                <w:color w:val="auto"/>
              </w:rPr>
              <w:t>.</w:t>
            </w:r>
          </w:p>
        </w:tc>
      </w:tr>
      <w:tr w:rsidR="0043375A" w:rsidRPr="006C43BC" w14:paraId="65271F52" w14:textId="77777777" w:rsidTr="00A14EFC">
        <w:tc>
          <w:tcPr>
            <w:tcW w:w="11016" w:type="dxa"/>
            <w:gridSpan w:val="2"/>
            <w:shd w:val="clear" w:color="auto" w:fill="D9D9D9"/>
          </w:tcPr>
          <w:p w14:paraId="44A0BAB2" w14:textId="77777777" w:rsidR="0043375A" w:rsidRPr="00A14EFC" w:rsidRDefault="0043375A" w:rsidP="00C41854">
            <w:pPr>
              <w:widowControl w:val="0"/>
              <w:tabs>
                <w:tab w:val="left" w:pos="0"/>
                <w:tab w:val="left" w:pos="801"/>
              </w:tabs>
              <w:rPr>
                <w:rFonts w:ascii="Calibri" w:hAnsi="Calibri" w:cs="Times New Roman"/>
                <w:bCs/>
                <w:color w:val="auto"/>
              </w:rPr>
            </w:pPr>
            <w:r w:rsidRPr="00A14EFC">
              <w:rPr>
                <w:rFonts w:ascii="Calibri" w:hAnsi="Calibri" w:cs="Times New Roman"/>
                <w:b/>
                <w:bCs/>
                <w:color w:val="auto"/>
              </w:rPr>
              <w:t xml:space="preserve">Note to </w:t>
            </w:r>
            <w:r w:rsidR="00F36A82" w:rsidRPr="00A14EFC">
              <w:rPr>
                <w:rFonts w:ascii="Calibri" w:hAnsi="Calibri" w:cs="Times New Roman"/>
                <w:b/>
                <w:bCs/>
                <w:color w:val="auto"/>
              </w:rPr>
              <w:t>A</w:t>
            </w:r>
            <w:r w:rsidRPr="00A14EFC">
              <w:rPr>
                <w:rFonts w:ascii="Calibri" w:hAnsi="Calibri" w:cs="Times New Roman"/>
                <w:b/>
                <w:bCs/>
                <w:color w:val="auto"/>
              </w:rPr>
              <w:t>uditor:</w:t>
            </w:r>
          </w:p>
        </w:tc>
      </w:tr>
    </w:tbl>
    <w:p w14:paraId="28E972C5" w14:textId="77777777" w:rsidR="00B8504E" w:rsidRPr="006C43BC" w:rsidRDefault="00B8504E" w:rsidP="00BB361A">
      <w:pPr>
        <w:widowControl w:val="0"/>
        <w:tabs>
          <w:tab w:val="left" w:pos="0"/>
        </w:tabs>
        <w:rPr>
          <w:rFonts w:ascii="Calibri" w:hAnsi="Calibri" w:cs="Times New Roman"/>
          <w:b/>
          <w:bCs/>
        </w:rPr>
      </w:pPr>
    </w:p>
    <w:p w14:paraId="1EE4AB36" w14:textId="77777777" w:rsidR="00BB361A" w:rsidRPr="006C43BC" w:rsidRDefault="00BB361A" w:rsidP="00BB361A">
      <w:pPr>
        <w:widowControl w:val="0"/>
        <w:tabs>
          <w:tab w:val="left" w:pos="0"/>
        </w:tabs>
        <w:rPr>
          <w:rFonts w:ascii="Calibri" w:hAnsi="Calibri" w:cs="Times New Roman"/>
          <w:b/>
          <w:bCs/>
          <w:color w:val="264D74"/>
        </w:rPr>
      </w:pPr>
      <w:r w:rsidRPr="006C43BC">
        <w:rPr>
          <w:rFonts w:ascii="Calibri" w:hAnsi="Calibri" w:cs="Times New Roman"/>
          <w:b/>
          <w:bCs/>
        </w:rPr>
        <w:t xml:space="preserve">Auditor  </w:t>
      </w:r>
      <w:r w:rsidR="00776474" w:rsidRPr="006C43BC">
        <w:rPr>
          <w:rFonts w:ascii="Calibri" w:hAnsi="Calibri" w:cs="Times New Roman"/>
          <w:b/>
          <w:bCs/>
        </w:rPr>
        <w:t>Notes</w:t>
      </w:r>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B361A" w:rsidRPr="006C43BC" w14:paraId="33E7C598" w14:textId="77777777" w:rsidTr="00A14EFC">
        <w:tc>
          <w:tcPr>
            <w:tcW w:w="11016" w:type="dxa"/>
            <w:shd w:val="clear" w:color="auto" w:fill="D9D9D9"/>
          </w:tcPr>
          <w:p w14:paraId="45890092" w14:textId="77777777" w:rsidR="00BB361A" w:rsidRPr="00A14EFC" w:rsidRDefault="00BB361A" w:rsidP="00A14EFC">
            <w:pPr>
              <w:widowControl w:val="0"/>
              <w:tabs>
                <w:tab w:val="left" w:pos="0"/>
              </w:tabs>
              <w:rPr>
                <w:rFonts w:ascii="Calibri" w:hAnsi="Calibri" w:cs="Times New Roman"/>
                <w:bCs/>
                <w:color w:val="auto"/>
              </w:rPr>
            </w:pPr>
            <w:bookmarkStart w:id="2" w:name="OLE_LINK3"/>
            <w:bookmarkStart w:id="3" w:name="OLE_LINK4"/>
          </w:p>
        </w:tc>
      </w:tr>
    </w:tbl>
    <w:p w14:paraId="5D9428EA" w14:textId="77777777" w:rsidR="00BB361A" w:rsidRPr="00EA2B8A" w:rsidRDefault="00BB361A" w:rsidP="00EA2B8A"/>
    <w:p w14:paraId="17F28AE7" w14:textId="77777777" w:rsidR="00FD4903" w:rsidRDefault="00FD4903" w:rsidP="00FD4903">
      <w:pPr>
        <w:rPr>
          <w:rFonts w:ascii="Calibri" w:hAnsi="Calibri"/>
        </w:rPr>
      </w:pPr>
    </w:p>
    <w:p w14:paraId="4EC776FD" w14:textId="77777777" w:rsidR="00434EDD" w:rsidRPr="006C43BC" w:rsidRDefault="00434EDD" w:rsidP="00FD4903">
      <w:pPr>
        <w:rPr>
          <w:rFonts w:ascii="Calibri" w:hAnsi="Calibri"/>
        </w:rPr>
      </w:pPr>
    </w:p>
    <w:bookmarkEnd w:id="2"/>
    <w:bookmarkEnd w:id="3"/>
    <w:p w14:paraId="552CB528" w14:textId="77777777" w:rsidR="001B3582" w:rsidRPr="00501FCB" w:rsidRDefault="001B3582" w:rsidP="001B3582">
      <w:pPr>
        <w:pStyle w:val="Heading1"/>
        <w:rPr>
          <w:rFonts w:ascii="Calibri" w:hAnsi="Calibri"/>
          <w:b/>
          <w:color w:val="auto"/>
          <w:sz w:val="24"/>
          <w:szCs w:val="22"/>
          <w:u w:val="single"/>
        </w:rPr>
      </w:pPr>
      <w:r w:rsidRPr="00501FCB">
        <w:rPr>
          <w:rFonts w:ascii="Calibri" w:hAnsi="Calibri"/>
          <w:b/>
          <w:color w:val="auto"/>
          <w:sz w:val="24"/>
          <w:szCs w:val="22"/>
          <w:u w:val="single"/>
        </w:rPr>
        <w:t>R2 Supporting Evidence and Documentation</w:t>
      </w:r>
    </w:p>
    <w:p w14:paraId="2F2E92EE" w14:textId="77777777" w:rsidR="00637520" w:rsidRPr="00A5384D" w:rsidRDefault="00637520" w:rsidP="00637520">
      <w:pPr>
        <w:spacing w:after="120"/>
        <w:ind w:left="936" w:hanging="576"/>
        <w:rPr>
          <w:rFonts w:ascii="Times New Roman" w:hAnsi="Times New Roman" w:cs="Times New Roman"/>
        </w:rPr>
      </w:pPr>
      <w:r w:rsidRPr="00A5384D">
        <w:rPr>
          <w:rFonts w:ascii="Times New Roman" w:hAnsi="Times New Roman" w:cs="Times New Roman"/>
          <w:b/>
          <w:bCs/>
        </w:rPr>
        <w:t>R2.</w:t>
      </w:r>
      <w:r w:rsidRPr="00A5384D">
        <w:rPr>
          <w:rFonts w:ascii="Times New Roman" w:hAnsi="Times New Roman" w:cs="Times New Roman"/>
          <w:b/>
          <w:bCs/>
        </w:rPr>
        <w:tab/>
      </w:r>
      <w:r w:rsidRPr="00A5384D">
        <w:rPr>
          <w:rFonts w:ascii="Times New Roman" w:hAnsi="Times New Roman" w:cs="Times New Roman"/>
        </w:rPr>
        <w:t>Each Planning Coordinator shall issue its Transfer Capability methodology and any revisions to the Transfer Capability methodology to the following entities subject to the following:</w:t>
      </w:r>
    </w:p>
    <w:p w14:paraId="28C76E4F" w14:textId="77777777" w:rsidR="00637520" w:rsidRPr="00A5384D" w:rsidRDefault="00637520" w:rsidP="00637520">
      <w:pPr>
        <w:spacing w:after="120"/>
        <w:ind w:left="1728" w:hanging="792"/>
        <w:rPr>
          <w:rFonts w:ascii="Times New Roman" w:hAnsi="Times New Roman" w:cs="Times New Roman"/>
        </w:rPr>
      </w:pPr>
      <w:r w:rsidRPr="00A5384D">
        <w:rPr>
          <w:rFonts w:ascii="Times New Roman" w:hAnsi="Times New Roman" w:cs="Times New Roman"/>
          <w:b/>
          <w:bCs/>
        </w:rPr>
        <w:t>R2.1.</w:t>
      </w:r>
      <w:r w:rsidRPr="00A5384D">
        <w:rPr>
          <w:rFonts w:ascii="Times New Roman" w:hAnsi="Times New Roman" w:cs="Times New Roman"/>
          <w:b/>
          <w:bCs/>
        </w:rPr>
        <w:tab/>
      </w:r>
      <w:r w:rsidRPr="00A5384D">
        <w:rPr>
          <w:rFonts w:ascii="Times New Roman" w:hAnsi="Times New Roman" w:cs="Times New Roman"/>
        </w:rPr>
        <w:t>Distribute to the following prior to the effectiveness of such revisions:</w:t>
      </w:r>
    </w:p>
    <w:p w14:paraId="05DF88DF" w14:textId="77777777" w:rsidR="00637520" w:rsidRPr="00A5384D" w:rsidRDefault="00637520" w:rsidP="00637520">
      <w:pPr>
        <w:spacing w:after="120"/>
        <w:ind w:left="2520" w:hanging="792"/>
        <w:rPr>
          <w:rFonts w:ascii="Times New Roman" w:hAnsi="Times New Roman" w:cs="Times New Roman"/>
        </w:rPr>
      </w:pPr>
      <w:r w:rsidRPr="00A5384D">
        <w:rPr>
          <w:rFonts w:ascii="Times New Roman" w:hAnsi="Times New Roman" w:cs="Times New Roman"/>
        </w:rPr>
        <w:t>R</w:t>
      </w:r>
      <w:r w:rsidRPr="00A5384D">
        <w:rPr>
          <w:rFonts w:ascii="Times New Roman" w:hAnsi="Times New Roman" w:cs="Times New Roman"/>
          <w:b/>
          <w:bCs/>
        </w:rPr>
        <w:t xml:space="preserve">2.1.1. </w:t>
      </w:r>
      <w:r w:rsidRPr="00A5384D">
        <w:rPr>
          <w:rFonts w:ascii="Times New Roman" w:hAnsi="Times New Roman" w:cs="Times New Roman"/>
        </w:rPr>
        <w:t>Each Planning Coordinator adjacent to the Planning Coordinator’s Planning Coordinator area or overlapping the Planning Coordinator’s area.</w:t>
      </w:r>
    </w:p>
    <w:p w14:paraId="6B928104" w14:textId="77777777" w:rsidR="00637520" w:rsidRPr="00A5384D" w:rsidRDefault="00637520" w:rsidP="00637520">
      <w:pPr>
        <w:spacing w:after="120"/>
        <w:ind w:left="2520" w:hanging="792"/>
        <w:rPr>
          <w:rFonts w:ascii="Times New Roman" w:hAnsi="Times New Roman" w:cs="Times New Roman"/>
        </w:rPr>
      </w:pPr>
      <w:r w:rsidRPr="00A5384D">
        <w:rPr>
          <w:rFonts w:ascii="Times New Roman" w:hAnsi="Times New Roman" w:cs="Times New Roman"/>
          <w:b/>
          <w:bCs/>
        </w:rPr>
        <w:t xml:space="preserve">R2.1.2. </w:t>
      </w:r>
      <w:r w:rsidRPr="00A5384D">
        <w:rPr>
          <w:rFonts w:ascii="Times New Roman" w:hAnsi="Times New Roman" w:cs="Times New Roman"/>
        </w:rPr>
        <w:t xml:space="preserve">Each Transmission Planner within the Planning Coordinator’s Planning Coordinator area. </w:t>
      </w:r>
    </w:p>
    <w:p w14:paraId="6E6C6485" w14:textId="77777777" w:rsidR="00637520" w:rsidRPr="00A5384D" w:rsidRDefault="00637520" w:rsidP="00637520">
      <w:pPr>
        <w:spacing w:after="120"/>
        <w:ind w:left="1728" w:hanging="792"/>
        <w:rPr>
          <w:rFonts w:ascii="Times New Roman" w:hAnsi="Times New Roman" w:cs="Times New Roman"/>
        </w:rPr>
      </w:pPr>
      <w:r w:rsidRPr="00A5384D">
        <w:rPr>
          <w:rFonts w:ascii="Times New Roman" w:hAnsi="Times New Roman" w:cs="Times New Roman"/>
          <w:b/>
          <w:bCs/>
        </w:rPr>
        <w:t>R2.2.</w:t>
      </w:r>
      <w:r w:rsidRPr="00A5384D">
        <w:rPr>
          <w:rFonts w:ascii="Times New Roman" w:hAnsi="Times New Roman" w:cs="Times New Roman"/>
          <w:b/>
          <w:bCs/>
        </w:rPr>
        <w:tab/>
      </w:r>
      <w:r w:rsidRPr="00A5384D">
        <w:rPr>
          <w:rFonts w:ascii="Times New Roman" w:hAnsi="Times New Roman" w:cs="Times New Roman"/>
        </w:rPr>
        <w:t xml:space="preserve">Distribute to each functional entity that has a reliability-related need for the Transfer Capability methodology and submits a request for that methodology within 30 calendar days of receiving that written request. </w:t>
      </w:r>
    </w:p>
    <w:p w14:paraId="4F593C13" w14:textId="77777777" w:rsidR="001B3582" w:rsidRPr="006C43BC" w:rsidRDefault="001B3582" w:rsidP="001B3582">
      <w:pPr>
        <w:rPr>
          <w:rFonts w:ascii="Calibri" w:hAnsi="Calibri" w:cs="Times New Roman"/>
          <w:b/>
        </w:rPr>
      </w:pPr>
    </w:p>
    <w:p w14:paraId="2D628530" w14:textId="77777777" w:rsidR="00637520" w:rsidRPr="00637520" w:rsidRDefault="001B3582" w:rsidP="00637520">
      <w:pPr>
        <w:rPr>
          <w:rFonts w:ascii="Calibri" w:hAnsi="Calibri" w:cs="Times New Roman"/>
          <w:color w:val="auto"/>
        </w:rPr>
      </w:pPr>
      <w:r w:rsidRPr="006C43BC">
        <w:rPr>
          <w:rFonts w:ascii="Calibri" w:hAnsi="Calibri" w:cs="Times New Roman"/>
          <w:b/>
        </w:rPr>
        <w:t xml:space="preserve">Question: </w:t>
      </w:r>
      <w:r w:rsidR="00637520" w:rsidRPr="00637520">
        <w:rPr>
          <w:rFonts w:ascii="Calibri" w:hAnsi="Calibri" w:cs="Times New Roman"/>
          <w:color w:val="auto"/>
        </w:rPr>
        <w:t xml:space="preserve">Has a functional entity submitted a written request for the Transfer Capability methodology? </w:t>
      </w:r>
    </w:p>
    <w:p w14:paraId="379C4593" w14:textId="77777777" w:rsidR="001B3582" w:rsidRPr="00637520" w:rsidRDefault="00637520" w:rsidP="00637520">
      <w:pPr>
        <w:rPr>
          <w:rFonts w:ascii="Calibri" w:hAnsi="Calibri" w:cs="Times New Roman"/>
          <w:color w:val="auto"/>
        </w:rPr>
      </w:pPr>
      <w:r w:rsidRPr="00637520">
        <w:rPr>
          <w:rFonts w:ascii="Calibri" w:hAnsi="Calibri" w:cs="Times New Roman"/>
          <w:color w:val="auto"/>
        </w:rPr>
        <w:t>If yes, provide evidence that the methodology was submitted within 30 calendar days of receiving that written request.</w:t>
      </w:r>
      <w:r w:rsidR="001B3582" w:rsidRPr="006C43BC">
        <w:rPr>
          <w:rFonts w:ascii="Calibri" w:hAnsi="Calibri" w:cs="Times New Roman"/>
          <w:color w:val="auto"/>
        </w:rPr>
        <w:t xml:space="preserve"> </w:t>
      </w:r>
      <w:r w:rsidR="001B3582" w:rsidRPr="00637520">
        <w:rPr>
          <w:rFonts w:ascii="Calibri" w:hAnsi="Calibri" w:cs="Times New Roman"/>
          <w:color w:val="auto"/>
        </w:rPr>
        <w:t xml:space="preserve"> </w:t>
      </w:r>
    </w:p>
    <w:p w14:paraId="0125E8A8" w14:textId="77777777" w:rsidR="001B3582" w:rsidRPr="006C43BC" w:rsidRDefault="001B3582" w:rsidP="001B3582">
      <w:pPr>
        <w:autoSpaceDE/>
        <w:autoSpaceDN/>
        <w:adjustRightInd/>
        <w:rPr>
          <w:rFonts w:ascii="Calibri" w:hAnsi="Calibri" w:cs="Times New Roman"/>
        </w:rPr>
      </w:pPr>
    </w:p>
    <w:p w14:paraId="265B16C0" w14:textId="77777777" w:rsidR="001B3582" w:rsidRPr="006C43BC" w:rsidRDefault="001B3582" w:rsidP="001B3582">
      <w:pPr>
        <w:autoSpaceDE/>
        <w:autoSpaceDN/>
        <w:adjustRightInd/>
        <w:rPr>
          <w:rFonts w:ascii="Calibri" w:hAnsi="Calibri" w:cs="Times New Roman"/>
        </w:rPr>
      </w:pPr>
      <w:r w:rsidRPr="006C43BC">
        <w:rPr>
          <w:rFonts w:ascii="Calibri" w:hAnsi="Calibri" w:cs="Times New Roman"/>
          <w:b/>
        </w:rPr>
        <w:t>Registered Entity Response</w:t>
      </w:r>
      <w:r w:rsidRPr="006C43BC">
        <w:rPr>
          <w:rFonts w:ascii="Calibri" w:hAnsi="Calibri" w:cs="Times New Roman"/>
        </w:rPr>
        <w:t xml:space="preserve">  </w:t>
      </w:r>
      <w:r w:rsidRPr="006C43BC">
        <w:rPr>
          <w:rFonts w:ascii="Calibri" w:hAnsi="Calibri" w:cs="Times New Roman"/>
          <w:b/>
          <w:bCs/>
          <w:color w:val="FF0000"/>
        </w:rPr>
        <w:t>(Required)</w:t>
      </w:r>
      <w:r w:rsidRPr="006C43BC">
        <w:rPr>
          <w:rFonts w:ascii="Calibri" w:hAnsi="Calibri" w:cs="Times New Roman"/>
          <w:b/>
          <w:bCs/>
        </w:rPr>
        <w:t>:</w:t>
      </w:r>
    </w:p>
    <w:p w14:paraId="0F84938E" w14:textId="77777777" w:rsidR="001B3582" w:rsidRPr="006C43BC" w:rsidRDefault="001B3582" w:rsidP="00C41854">
      <w:pPr>
        <w:widowControl w:val="0"/>
        <w:shd w:val="clear" w:color="auto" w:fill="D3DCE9"/>
        <w:jc w:val="both"/>
        <w:rPr>
          <w:rFonts w:ascii="Calibri" w:hAnsi="Calibri" w:cs="Times New Roman"/>
          <w:bCs/>
          <w:color w:val="0070C0"/>
        </w:rPr>
      </w:pPr>
    </w:p>
    <w:p w14:paraId="6C1D585B" w14:textId="77777777" w:rsidR="001B3582" w:rsidRPr="006C43BC" w:rsidRDefault="001B3582" w:rsidP="00C41854">
      <w:pPr>
        <w:widowControl w:val="0"/>
        <w:shd w:val="clear" w:color="auto" w:fill="D3DCE9"/>
        <w:jc w:val="both"/>
        <w:rPr>
          <w:rFonts w:ascii="Calibri" w:hAnsi="Calibri" w:cs="Times New Roman"/>
          <w:bCs/>
          <w:color w:val="0070C0"/>
        </w:rPr>
      </w:pPr>
    </w:p>
    <w:p w14:paraId="3CD3923C" w14:textId="77777777" w:rsidR="001B3582" w:rsidRPr="006C43BC" w:rsidRDefault="001B3582" w:rsidP="001B3582">
      <w:pPr>
        <w:widowControl w:val="0"/>
        <w:tabs>
          <w:tab w:val="left" w:pos="0"/>
        </w:tabs>
        <w:rPr>
          <w:rFonts w:ascii="Calibri" w:hAnsi="Calibri" w:cs="Times New Roman"/>
          <w:b/>
          <w:bCs/>
        </w:rPr>
      </w:pPr>
    </w:p>
    <w:p w14:paraId="1B9DCAB6" w14:textId="77777777" w:rsidR="001B3582" w:rsidRPr="006C43BC" w:rsidRDefault="001B3582" w:rsidP="001B3582">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14:paraId="0F766377" w14:textId="77777777" w:rsidR="001B3582" w:rsidRPr="006C43BC" w:rsidRDefault="001B3582" w:rsidP="001B3582">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14:paraId="4BD27A50" w14:textId="77777777" w:rsidR="001B3582" w:rsidRPr="006C43BC" w:rsidRDefault="001B3582" w:rsidP="00C41854">
      <w:pPr>
        <w:widowControl w:val="0"/>
        <w:shd w:val="clear" w:color="auto" w:fill="D3DCE9"/>
        <w:jc w:val="both"/>
        <w:rPr>
          <w:rFonts w:ascii="Calibri" w:hAnsi="Calibri" w:cs="Times New Roman"/>
          <w:bCs/>
          <w:color w:val="0070C0"/>
        </w:rPr>
      </w:pPr>
    </w:p>
    <w:p w14:paraId="64AB1DBC" w14:textId="77777777" w:rsidR="001B3582" w:rsidRPr="006C43BC" w:rsidRDefault="001B3582" w:rsidP="00C41854">
      <w:pPr>
        <w:widowControl w:val="0"/>
        <w:shd w:val="clear" w:color="auto" w:fill="D3DCE9"/>
        <w:jc w:val="both"/>
        <w:rPr>
          <w:rFonts w:ascii="Calibri" w:hAnsi="Calibri" w:cs="Times New Roman"/>
          <w:bCs/>
          <w:color w:val="0070C0"/>
        </w:rPr>
      </w:pPr>
    </w:p>
    <w:p w14:paraId="13A0AADD" w14:textId="77777777" w:rsidR="001B3582" w:rsidRPr="006C43BC" w:rsidRDefault="001B3582" w:rsidP="001B3582">
      <w:pPr>
        <w:widowControl w:val="0"/>
        <w:spacing w:line="266" w:lineRule="exact"/>
        <w:rPr>
          <w:rFonts w:ascii="Calibri" w:hAnsi="Calibri" w:cs="Times New Roman"/>
          <w:b/>
          <w:bCs/>
        </w:rPr>
      </w:pPr>
    </w:p>
    <w:p w14:paraId="15C7938A" w14:textId="77777777" w:rsidR="001B3582" w:rsidRPr="006C43BC" w:rsidRDefault="001B3582" w:rsidP="001B3582">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B3582" w:rsidRPr="006C43BC" w14:paraId="125785CE" w14:textId="77777777" w:rsidTr="00A14EFC">
        <w:tc>
          <w:tcPr>
            <w:tcW w:w="11016" w:type="dxa"/>
            <w:shd w:val="clear" w:color="auto" w:fill="DBE5F1"/>
          </w:tcPr>
          <w:p w14:paraId="2473D1E7" w14:textId="77777777" w:rsidR="001B3582" w:rsidRPr="00A14EFC" w:rsidRDefault="001B3582" w:rsidP="00A14EFC">
            <w:pPr>
              <w:widowControl w:val="0"/>
              <w:tabs>
                <w:tab w:val="left" w:pos="0"/>
              </w:tabs>
              <w:rPr>
                <w:rFonts w:ascii="Calibri" w:hAnsi="Calibri" w:cs="Times New Roman"/>
                <w:bCs/>
                <w:color w:val="auto"/>
              </w:rPr>
            </w:pPr>
            <w:r w:rsidRPr="00A14EFC">
              <w:rPr>
                <w:rFonts w:ascii="Calibri" w:hAnsi="Calibri" w:cs="Times New Roman"/>
                <w:bCs/>
                <w:color w:val="auto"/>
              </w:rPr>
              <w:t>Provide the following for all evidence submitted (</w:t>
            </w:r>
            <w:r w:rsidRPr="00A14EFC">
              <w:rPr>
                <w:rFonts w:ascii="Calibri" w:hAnsi="Calibri" w:cs="Times New Roman"/>
              </w:rPr>
              <w:t>Insert additional rows if necessary)</w:t>
            </w:r>
            <w:r w:rsidRPr="00A14EFC">
              <w:rPr>
                <w:rFonts w:ascii="Calibri" w:hAnsi="Calibri" w:cs="Times New Roman"/>
                <w:bCs/>
                <w:color w:val="auto"/>
              </w:rPr>
              <w:t>:</w:t>
            </w:r>
          </w:p>
          <w:p w14:paraId="0A484A50" w14:textId="77777777" w:rsidR="001B3582" w:rsidRPr="00A14EFC" w:rsidRDefault="001B3582" w:rsidP="00A14EFC">
            <w:pPr>
              <w:widowControl w:val="0"/>
              <w:rPr>
                <w:rFonts w:ascii="Calibri" w:hAnsi="Calibri" w:cs="Times New Roman"/>
              </w:rPr>
            </w:pPr>
            <w:r w:rsidRPr="00A14EFC">
              <w:rPr>
                <w:rFonts w:ascii="Calibri" w:hAnsi="Calibri" w:cs="Times New Roman"/>
                <w:bCs/>
                <w:color w:val="auto"/>
              </w:rPr>
              <w:tab/>
              <w:t xml:space="preserve">File Name, File </w:t>
            </w:r>
            <w:r w:rsidR="008302E3">
              <w:rPr>
                <w:rFonts w:ascii="Calibri" w:hAnsi="Calibri" w:cs="Times New Roman"/>
                <w:bCs/>
                <w:color w:val="auto"/>
              </w:rPr>
              <w:t>Extension</w:t>
            </w:r>
            <w:r w:rsidRPr="00A14EFC">
              <w:rPr>
                <w:rFonts w:ascii="Calibri" w:hAnsi="Calibri" w:cs="Times New Roman"/>
                <w:bCs/>
                <w:color w:val="auto"/>
              </w:rPr>
              <w:t xml:space="preserve">, Document Title, Revision, Date, Page(s), Section(s), Section Title(s), </w:t>
            </w:r>
            <w:r w:rsidRPr="00A14EFC">
              <w:rPr>
                <w:rFonts w:ascii="Calibri" w:hAnsi="Calibri" w:cs="Times New Roman"/>
                <w:bCs/>
                <w:color w:val="auto"/>
              </w:rPr>
              <w:tab/>
              <w:t>Description</w:t>
            </w:r>
          </w:p>
        </w:tc>
      </w:tr>
      <w:tr w:rsidR="001B3582" w:rsidRPr="006C43BC" w14:paraId="2FFA2BD0" w14:textId="77777777" w:rsidTr="00A14EFC">
        <w:tc>
          <w:tcPr>
            <w:tcW w:w="11016" w:type="dxa"/>
          </w:tcPr>
          <w:p w14:paraId="42B4DFCA" w14:textId="77777777" w:rsidR="001B3582" w:rsidRPr="00A14EFC" w:rsidRDefault="001B3582" w:rsidP="00A14EFC">
            <w:pPr>
              <w:widowControl w:val="0"/>
              <w:jc w:val="both"/>
              <w:rPr>
                <w:rFonts w:ascii="Calibri" w:hAnsi="Calibri" w:cs="Times New Roman"/>
                <w:color w:val="0070C0"/>
              </w:rPr>
            </w:pPr>
          </w:p>
        </w:tc>
      </w:tr>
      <w:tr w:rsidR="001B3582" w:rsidRPr="006C43BC" w14:paraId="753972A1" w14:textId="77777777" w:rsidTr="00A14EFC">
        <w:tc>
          <w:tcPr>
            <w:tcW w:w="11016" w:type="dxa"/>
          </w:tcPr>
          <w:p w14:paraId="2B6FA5D4" w14:textId="77777777" w:rsidR="001B3582" w:rsidRPr="00A14EFC" w:rsidRDefault="001B3582" w:rsidP="00A14EFC">
            <w:pPr>
              <w:widowControl w:val="0"/>
              <w:jc w:val="both"/>
              <w:rPr>
                <w:rFonts w:ascii="Calibri" w:hAnsi="Calibri" w:cs="Times New Roman"/>
                <w:color w:val="0070C0"/>
              </w:rPr>
            </w:pPr>
          </w:p>
        </w:tc>
      </w:tr>
      <w:tr w:rsidR="001B3582" w:rsidRPr="006C43BC" w14:paraId="7B5ADD76" w14:textId="77777777" w:rsidTr="00A14EFC">
        <w:tc>
          <w:tcPr>
            <w:tcW w:w="11016" w:type="dxa"/>
          </w:tcPr>
          <w:p w14:paraId="37EF88AB" w14:textId="77777777" w:rsidR="001B3582" w:rsidRPr="00A14EFC" w:rsidRDefault="001B3582" w:rsidP="00A14EFC">
            <w:pPr>
              <w:widowControl w:val="0"/>
              <w:jc w:val="both"/>
              <w:rPr>
                <w:rFonts w:ascii="Calibri" w:hAnsi="Calibri" w:cs="Times New Roman"/>
                <w:color w:val="0070C0"/>
              </w:rPr>
            </w:pPr>
          </w:p>
        </w:tc>
      </w:tr>
    </w:tbl>
    <w:p w14:paraId="67EEF3CC" w14:textId="77777777" w:rsidR="001B3582" w:rsidRPr="006C43BC" w:rsidRDefault="001B3582" w:rsidP="001B3582">
      <w:pPr>
        <w:widowControl w:val="0"/>
        <w:rPr>
          <w:rFonts w:ascii="Calibri" w:hAnsi="Calibri" w:cs="Times New Roman"/>
        </w:rPr>
      </w:pPr>
    </w:p>
    <w:p w14:paraId="550BC3BB" w14:textId="77777777" w:rsidR="001B3582" w:rsidRPr="006C43BC" w:rsidRDefault="001B3582" w:rsidP="001B3582">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1B3582" w:rsidRPr="006C43BC" w14:paraId="7F0B1C2C" w14:textId="77777777" w:rsidTr="00A14EFC">
        <w:tc>
          <w:tcPr>
            <w:tcW w:w="11016" w:type="dxa"/>
            <w:shd w:val="clear" w:color="auto" w:fill="D9D9D9"/>
          </w:tcPr>
          <w:p w14:paraId="3F60C8FB" w14:textId="77777777" w:rsidR="001B3582" w:rsidRPr="00A14EFC" w:rsidRDefault="001B3582" w:rsidP="00A14EFC">
            <w:pPr>
              <w:widowControl w:val="0"/>
              <w:rPr>
                <w:rFonts w:ascii="Calibri" w:hAnsi="Calibri" w:cs="Times New Roman"/>
              </w:rPr>
            </w:pPr>
          </w:p>
        </w:tc>
      </w:tr>
      <w:tr w:rsidR="001B3582" w:rsidRPr="006C43BC" w14:paraId="307D9EBE" w14:textId="77777777" w:rsidTr="00A14EFC">
        <w:tc>
          <w:tcPr>
            <w:tcW w:w="11016" w:type="dxa"/>
            <w:shd w:val="clear" w:color="auto" w:fill="D9D9D9"/>
          </w:tcPr>
          <w:p w14:paraId="6844BFC4" w14:textId="77777777" w:rsidR="001B3582" w:rsidRPr="00A14EFC" w:rsidRDefault="001B3582" w:rsidP="00A14EFC">
            <w:pPr>
              <w:widowControl w:val="0"/>
              <w:rPr>
                <w:rFonts w:ascii="Calibri" w:hAnsi="Calibri" w:cs="Times New Roman"/>
              </w:rPr>
            </w:pPr>
          </w:p>
        </w:tc>
      </w:tr>
      <w:tr w:rsidR="001B3582" w:rsidRPr="006C43BC" w14:paraId="49C41493" w14:textId="77777777" w:rsidTr="00A14EFC">
        <w:tc>
          <w:tcPr>
            <w:tcW w:w="11016" w:type="dxa"/>
            <w:shd w:val="clear" w:color="auto" w:fill="D9D9D9"/>
          </w:tcPr>
          <w:p w14:paraId="5E3F9F03" w14:textId="77777777" w:rsidR="001B3582" w:rsidRPr="00A14EFC" w:rsidRDefault="001B3582" w:rsidP="00A14EFC">
            <w:pPr>
              <w:widowControl w:val="0"/>
              <w:rPr>
                <w:rFonts w:ascii="Calibri" w:hAnsi="Calibri" w:cs="Times New Roman"/>
              </w:rPr>
            </w:pPr>
          </w:p>
        </w:tc>
      </w:tr>
    </w:tbl>
    <w:p w14:paraId="0256271E" w14:textId="77777777" w:rsidR="001B3582" w:rsidRDefault="001B3582" w:rsidP="001B3582">
      <w:pPr>
        <w:widowControl w:val="0"/>
        <w:rPr>
          <w:rFonts w:ascii="Calibri" w:hAnsi="Calibri" w:cs="Times New Roman"/>
        </w:rPr>
      </w:pPr>
    </w:p>
    <w:p w14:paraId="3E2769F6" w14:textId="77777777" w:rsidR="00307E53" w:rsidRPr="006C43BC" w:rsidRDefault="00307E53" w:rsidP="001B3582">
      <w:pPr>
        <w:widowControl w:val="0"/>
        <w:rPr>
          <w:rFonts w:ascii="Calibri" w:hAnsi="Calibri" w:cs="Times New Roman"/>
        </w:rPr>
      </w:pPr>
    </w:p>
    <w:p w14:paraId="0918E7D3" w14:textId="77777777" w:rsidR="001B3582" w:rsidRPr="00501FCB" w:rsidRDefault="001B3582" w:rsidP="001B3582">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07E53">
        <w:rPr>
          <w:rFonts w:ascii="Calibri" w:hAnsi="Calibri"/>
          <w:b/>
        </w:rPr>
        <w:t xml:space="preserve">Compliance Assessment Approach Specific to </w:t>
      </w:r>
      <w:r w:rsidR="00307E53">
        <w:rPr>
          <w:rFonts w:ascii="Calibri" w:hAnsi="Calibri"/>
          <w:b/>
        </w:rPr>
        <w:t>FAC</w:t>
      </w:r>
      <w:r w:rsidRPr="00307E53">
        <w:rPr>
          <w:rFonts w:ascii="Calibri" w:hAnsi="Calibri"/>
          <w:b/>
        </w:rPr>
        <w:t>-0</w:t>
      </w:r>
      <w:r w:rsidR="00307E53">
        <w:rPr>
          <w:rFonts w:ascii="Calibri" w:hAnsi="Calibri"/>
          <w:b/>
        </w:rPr>
        <w:t>13</w:t>
      </w:r>
      <w:r w:rsidRPr="00307E53">
        <w:rPr>
          <w:rFonts w:ascii="Calibri" w:hAnsi="Calibri"/>
          <w:b/>
        </w:rPr>
        <w:t>-</w:t>
      </w:r>
      <w:r w:rsidR="00307E53">
        <w:rPr>
          <w:rFonts w:ascii="Calibri" w:hAnsi="Calibri"/>
          <w:b/>
        </w:rPr>
        <w:t>2</w:t>
      </w:r>
      <w:r w:rsidRPr="00307E53">
        <w:rPr>
          <w:rFonts w:ascii="Calibri" w:hAnsi="Calibri"/>
          <w:b/>
        </w:rPr>
        <w:t>, R</w:t>
      </w:r>
      <w:r w:rsidR="00BA39D3">
        <w:rPr>
          <w:rFonts w:ascii="Calibri" w:hAnsi="Calibri"/>
          <w:b/>
        </w:rPr>
        <w:t>2</w:t>
      </w:r>
    </w:p>
    <w:p w14:paraId="1B8251E3" w14:textId="77777777" w:rsidR="001B3582" w:rsidRPr="00BA39D3" w:rsidRDefault="00BA39D3" w:rsidP="001B3582">
      <w:pPr>
        <w:tabs>
          <w:tab w:val="left" w:pos="1080"/>
        </w:tabs>
        <w:rPr>
          <w:rFonts w:ascii="Calibri" w:hAnsi="Calibri"/>
          <w:b/>
          <w:color w:val="FF0000"/>
          <w:sz w:val="22"/>
        </w:rPr>
      </w:pPr>
      <w:r w:rsidRPr="00BA39D3">
        <w:rPr>
          <w:rFonts w:ascii="Calibri" w:hAnsi="Calibri"/>
          <w:b/>
          <w:color w:val="FF0000"/>
          <w:sz w:val="22"/>
        </w:rPr>
        <w:t>(</w:t>
      </w:r>
      <w:r w:rsidR="001B3582" w:rsidRPr="00BA39D3">
        <w:rPr>
          <w:rFonts w:ascii="Calibri" w:hAnsi="Calibri"/>
          <w:b/>
          <w:color w:val="FF0000"/>
          <w:sz w:val="22"/>
        </w:rPr>
        <w:t>This section must be completed by the Compliance Enforcement Authority</w:t>
      </w:r>
      <w:r w:rsidRPr="00BA39D3">
        <w:rPr>
          <w:rFonts w:ascii="Calibri" w:hAnsi="Calibri"/>
          <w:b/>
          <w:color w:val="FF0000"/>
          <w:sz w:val="22"/>
        </w:rPr>
        <w:t>)</w:t>
      </w:r>
    </w:p>
    <w:p w14:paraId="718C28D6" w14:textId="77777777" w:rsidR="001B3582" w:rsidRPr="006C43BC" w:rsidRDefault="001B3582" w:rsidP="001B3582">
      <w:pPr>
        <w:widowControl w:val="0"/>
        <w:tabs>
          <w:tab w:val="left" w:pos="0"/>
          <w:tab w:val="left" w:pos="900"/>
          <w:tab w:val="left" w:pos="6360"/>
        </w:tabs>
        <w:rPr>
          <w:rFonts w:ascii="Calibri" w:hAnsi="Calibri" w:cs="Times New Roman"/>
          <w:iCs/>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1B3582" w:rsidRPr="006C43BC" w14:paraId="74EF4697" w14:textId="77777777" w:rsidTr="00A14EFC">
        <w:tc>
          <w:tcPr>
            <w:tcW w:w="378" w:type="dxa"/>
          </w:tcPr>
          <w:p w14:paraId="29077C80" w14:textId="77777777" w:rsidR="001B3582" w:rsidRPr="00A14EFC" w:rsidRDefault="001B3582" w:rsidP="00A14EFC">
            <w:pPr>
              <w:widowControl w:val="0"/>
              <w:tabs>
                <w:tab w:val="left" w:pos="0"/>
                <w:tab w:val="left" w:pos="900"/>
                <w:tab w:val="left" w:pos="6360"/>
              </w:tabs>
              <w:rPr>
                <w:rFonts w:ascii="Calibri" w:hAnsi="Calibri" w:cs="Times New Roman"/>
                <w:bCs/>
              </w:rPr>
            </w:pPr>
          </w:p>
        </w:tc>
        <w:tc>
          <w:tcPr>
            <w:tcW w:w="10638" w:type="dxa"/>
          </w:tcPr>
          <w:p w14:paraId="1F3FFD90" w14:textId="77777777" w:rsidR="001B3582" w:rsidRPr="00A14EFC" w:rsidRDefault="001B3582" w:rsidP="00A14EFC">
            <w:pPr>
              <w:widowControl w:val="0"/>
              <w:tabs>
                <w:tab w:val="left" w:pos="0"/>
                <w:tab w:val="left" w:pos="900"/>
                <w:tab w:val="left" w:pos="6360"/>
              </w:tabs>
              <w:rPr>
                <w:rFonts w:ascii="Calibri" w:hAnsi="Calibri" w:cs="Times New Roman"/>
                <w:color w:val="auto"/>
              </w:rPr>
            </w:pPr>
            <w:r w:rsidRPr="00A14EFC">
              <w:rPr>
                <w:rFonts w:ascii="Calibri" w:hAnsi="Calibri" w:cs="Times New Roman"/>
                <w:color w:val="auto"/>
              </w:rPr>
              <w:t>Responded to the applicability Question and provided evidence of compliance if the response was yes.</w:t>
            </w:r>
          </w:p>
        </w:tc>
      </w:tr>
      <w:tr w:rsidR="001B3582" w:rsidRPr="006C43BC" w14:paraId="6B370A6B" w14:textId="77777777" w:rsidTr="00A14EFC">
        <w:tc>
          <w:tcPr>
            <w:tcW w:w="378" w:type="dxa"/>
          </w:tcPr>
          <w:p w14:paraId="1A74016C" w14:textId="77777777" w:rsidR="001B3582" w:rsidRPr="00307E53" w:rsidRDefault="001B3582" w:rsidP="00A14EFC">
            <w:pPr>
              <w:widowControl w:val="0"/>
              <w:tabs>
                <w:tab w:val="left" w:pos="0"/>
                <w:tab w:val="left" w:pos="900"/>
                <w:tab w:val="left" w:pos="6360"/>
              </w:tabs>
              <w:rPr>
                <w:rFonts w:ascii="Calibri" w:hAnsi="Calibri" w:cs="Times New Roman"/>
                <w:color w:val="auto"/>
              </w:rPr>
            </w:pPr>
          </w:p>
        </w:tc>
        <w:tc>
          <w:tcPr>
            <w:tcW w:w="10638" w:type="dxa"/>
          </w:tcPr>
          <w:p w14:paraId="6F675BBB" w14:textId="77777777" w:rsidR="001B3582" w:rsidRPr="00307E53" w:rsidRDefault="00647DE0" w:rsidP="00A14EFC">
            <w:pPr>
              <w:widowControl w:val="0"/>
              <w:tabs>
                <w:tab w:val="left" w:pos="0"/>
                <w:tab w:val="left" w:pos="900"/>
                <w:tab w:val="left" w:pos="6360"/>
              </w:tabs>
              <w:rPr>
                <w:rFonts w:ascii="Calibri" w:hAnsi="Calibri" w:cs="Times New Roman"/>
                <w:color w:val="auto"/>
              </w:rPr>
            </w:pPr>
            <w:r w:rsidRPr="00AE4630">
              <w:rPr>
                <w:rFonts w:ascii="Calibri" w:hAnsi="Calibri" w:cs="Times New Roman"/>
                <w:color w:val="auto"/>
              </w:rPr>
              <w:t>Verify the entity issued its Transfer Capability methodology and any revisions to the Transfer Capability methodology to the following entities subject to the following:</w:t>
            </w:r>
          </w:p>
        </w:tc>
      </w:tr>
      <w:tr w:rsidR="001B3582" w:rsidRPr="006C43BC" w14:paraId="2EFF1029" w14:textId="77777777" w:rsidTr="00A14EFC">
        <w:tc>
          <w:tcPr>
            <w:tcW w:w="378" w:type="dxa"/>
          </w:tcPr>
          <w:p w14:paraId="3997A3E2" w14:textId="77777777" w:rsidR="001B3582" w:rsidRPr="00307E53" w:rsidRDefault="001B3582" w:rsidP="00A14EFC">
            <w:pPr>
              <w:widowControl w:val="0"/>
              <w:tabs>
                <w:tab w:val="left" w:pos="0"/>
                <w:tab w:val="left" w:pos="900"/>
                <w:tab w:val="left" w:pos="6360"/>
              </w:tabs>
              <w:rPr>
                <w:rFonts w:ascii="Calibri" w:hAnsi="Calibri" w:cs="Times New Roman"/>
                <w:color w:val="auto"/>
              </w:rPr>
            </w:pPr>
          </w:p>
        </w:tc>
        <w:tc>
          <w:tcPr>
            <w:tcW w:w="10638" w:type="dxa"/>
          </w:tcPr>
          <w:p w14:paraId="0976D611" w14:textId="77777777" w:rsidR="001B3582" w:rsidRPr="00A14EFC" w:rsidRDefault="00647DE0" w:rsidP="00A14EFC">
            <w:pPr>
              <w:widowControl w:val="0"/>
              <w:tabs>
                <w:tab w:val="left" w:pos="0"/>
                <w:tab w:val="left" w:pos="900"/>
                <w:tab w:val="left" w:pos="6360"/>
              </w:tabs>
              <w:rPr>
                <w:rFonts w:ascii="Calibri" w:hAnsi="Calibri" w:cs="Times New Roman"/>
                <w:color w:val="auto"/>
              </w:rPr>
            </w:pPr>
            <w:r w:rsidRPr="00AE4630">
              <w:rPr>
                <w:rFonts w:ascii="Calibri" w:hAnsi="Calibri" w:cs="Times New Roman"/>
                <w:color w:val="auto"/>
              </w:rPr>
              <w:t>The distribution of its revised Transfer Capability methodology was made prior to the effectiveness of such revisions to:</w:t>
            </w:r>
          </w:p>
        </w:tc>
      </w:tr>
      <w:tr w:rsidR="00307E53" w:rsidRPr="006C43BC" w14:paraId="0A9909F3" w14:textId="77777777" w:rsidTr="00307E53">
        <w:tc>
          <w:tcPr>
            <w:tcW w:w="378" w:type="dxa"/>
          </w:tcPr>
          <w:p w14:paraId="0A1BC166" w14:textId="77777777" w:rsidR="00307E53" w:rsidRPr="00307E53" w:rsidRDefault="00307E53" w:rsidP="00307E53">
            <w:pPr>
              <w:widowControl w:val="0"/>
              <w:tabs>
                <w:tab w:val="left" w:pos="0"/>
                <w:tab w:val="left" w:pos="900"/>
                <w:tab w:val="left" w:pos="6360"/>
              </w:tabs>
              <w:rPr>
                <w:rFonts w:ascii="Calibri" w:hAnsi="Calibri" w:cs="Times New Roman"/>
                <w:color w:val="auto"/>
              </w:rPr>
            </w:pPr>
          </w:p>
        </w:tc>
        <w:tc>
          <w:tcPr>
            <w:tcW w:w="10638" w:type="dxa"/>
          </w:tcPr>
          <w:p w14:paraId="65D72AFD" w14:textId="77777777" w:rsidR="00307E53" w:rsidRPr="00307E53" w:rsidRDefault="00647DE0" w:rsidP="00307E53">
            <w:pPr>
              <w:widowControl w:val="0"/>
              <w:tabs>
                <w:tab w:val="left" w:pos="0"/>
                <w:tab w:val="left" w:pos="900"/>
                <w:tab w:val="left" w:pos="6360"/>
              </w:tabs>
              <w:rPr>
                <w:rFonts w:ascii="Calibri" w:hAnsi="Calibri" w:cs="Times New Roman"/>
                <w:color w:val="auto"/>
              </w:rPr>
            </w:pPr>
            <w:r w:rsidRPr="00AE4630">
              <w:rPr>
                <w:rFonts w:ascii="Calibri" w:hAnsi="Calibri" w:cs="Times New Roman"/>
                <w:color w:val="auto"/>
              </w:rPr>
              <w:t>Each Planning Coordinator adjacent to the Planning Coordinator’s Planning Coordinator area or overlapping the Planning Coordinator’s area.</w:t>
            </w:r>
          </w:p>
        </w:tc>
      </w:tr>
      <w:tr w:rsidR="00307E53" w:rsidRPr="006C43BC" w14:paraId="0D99E3B5" w14:textId="77777777" w:rsidTr="00307E53">
        <w:tc>
          <w:tcPr>
            <w:tcW w:w="378" w:type="dxa"/>
          </w:tcPr>
          <w:p w14:paraId="2C1F612E" w14:textId="77777777" w:rsidR="00307E53" w:rsidRPr="00307E53" w:rsidRDefault="00307E53" w:rsidP="00307E53">
            <w:pPr>
              <w:widowControl w:val="0"/>
              <w:tabs>
                <w:tab w:val="left" w:pos="0"/>
                <w:tab w:val="left" w:pos="900"/>
                <w:tab w:val="left" w:pos="6360"/>
              </w:tabs>
              <w:rPr>
                <w:rFonts w:ascii="Calibri" w:hAnsi="Calibri" w:cs="Times New Roman"/>
                <w:color w:val="auto"/>
              </w:rPr>
            </w:pPr>
          </w:p>
        </w:tc>
        <w:tc>
          <w:tcPr>
            <w:tcW w:w="10638" w:type="dxa"/>
          </w:tcPr>
          <w:p w14:paraId="4ADFFA80" w14:textId="77777777" w:rsidR="00307E53" w:rsidRPr="00307E53" w:rsidRDefault="00647DE0" w:rsidP="00307E53">
            <w:pPr>
              <w:widowControl w:val="0"/>
              <w:spacing w:after="120"/>
              <w:rPr>
                <w:rFonts w:ascii="Calibri" w:hAnsi="Calibri" w:cs="Times New Roman"/>
                <w:color w:val="auto"/>
              </w:rPr>
            </w:pPr>
            <w:r w:rsidRPr="00AE4630">
              <w:rPr>
                <w:rFonts w:ascii="Calibri" w:hAnsi="Calibri" w:cs="Times New Roman"/>
                <w:color w:val="auto"/>
              </w:rPr>
              <w:t>Each Transmission Planner within the Planning Coordinator’s Planning Coordinator area.</w:t>
            </w:r>
          </w:p>
        </w:tc>
      </w:tr>
      <w:tr w:rsidR="00307E53" w:rsidRPr="006C43BC" w14:paraId="72BAA0A4" w14:textId="77777777" w:rsidTr="00307E53">
        <w:tc>
          <w:tcPr>
            <w:tcW w:w="378" w:type="dxa"/>
            <w:tcBorders>
              <w:bottom w:val="single" w:sz="4" w:space="0" w:color="auto"/>
            </w:tcBorders>
          </w:tcPr>
          <w:p w14:paraId="63C15D1C" w14:textId="77777777" w:rsidR="00307E53" w:rsidRPr="00307E53" w:rsidRDefault="00307E53" w:rsidP="00307E53">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14:paraId="0C1DEA85" w14:textId="77777777" w:rsidR="00307E53" w:rsidRPr="00307E53" w:rsidRDefault="00647DE0" w:rsidP="00307E53">
            <w:pPr>
              <w:widowControl w:val="0"/>
              <w:tabs>
                <w:tab w:val="left" w:pos="0"/>
                <w:tab w:val="left" w:pos="900"/>
                <w:tab w:val="left" w:pos="6360"/>
              </w:tabs>
              <w:rPr>
                <w:rFonts w:ascii="Calibri" w:hAnsi="Calibri" w:cs="Times New Roman"/>
                <w:color w:val="auto"/>
              </w:rPr>
            </w:pPr>
            <w:r w:rsidRPr="00AE4630">
              <w:rPr>
                <w:rFonts w:ascii="Calibri" w:hAnsi="Calibri" w:cs="Times New Roman"/>
                <w:color w:val="auto"/>
              </w:rPr>
              <w:t>The entity distributed its Transfer Capability methodology and any revisions to each functional entity that has a reliability-related need for the Transfer Capability methodology within 30 calendar days of receiving a written request.</w:t>
            </w:r>
          </w:p>
        </w:tc>
      </w:tr>
      <w:tr w:rsidR="001B3582" w:rsidRPr="006C43BC" w14:paraId="4933A6DA" w14:textId="77777777" w:rsidTr="00A14EFC">
        <w:tc>
          <w:tcPr>
            <w:tcW w:w="11016" w:type="dxa"/>
            <w:gridSpan w:val="2"/>
            <w:shd w:val="clear" w:color="auto" w:fill="D9D9D9"/>
          </w:tcPr>
          <w:p w14:paraId="7CB1B9D9" w14:textId="77777777" w:rsidR="001B3582" w:rsidRPr="00A14EFC" w:rsidRDefault="001B3582" w:rsidP="00C41854">
            <w:pPr>
              <w:widowControl w:val="0"/>
              <w:tabs>
                <w:tab w:val="left" w:pos="0"/>
                <w:tab w:val="left" w:pos="801"/>
              </w:tabs>
              <w:rPr>
                <w:rFonts w:ascii="Calibri" w:hAnsi="Calibri" w:cs="Times New Roman"/>
                <w:bCs/>
                <w:color w:val="auto"/>
              </w:rPr>
            </w:pPr>
            <w:r w:rsidRPr="00A14EFC">
              <w:rPr>
                <w:rFonts w:ascii="Calibri" w:hAnsi="Calibri" w:cs="Times New Roman"/>
                <w:b/>
                <w:bCs/>
                <w:color w:val="auto"/>
              </w:rPr>
              <w:t>Note to Auditor:</w:t>
            </w:r>
            <w:r w:rsidRPr="00A14EFC">
              <w:rPr>
                <w:rFonts w:ascii="Calibri" w:hAnsi="Calibri" w:cs="Times New Roman"/>
                <w:bCs/>
                <w:color w:val="auto"/>
              </w:rPr>
              <w:t xml:space="preserve"> </w:t>
            </w:r>
          </w:p>
        </w:tc>
      </w:tr>
    </w:tbl>
    <w:p w14:paraId="5D94DE1F" w14:textId="77777777" w:rsidR="001B3582" w:rsidRPr="006C43BC" w:rsidRDefault="001B3582" w:rsidP="001B3582">
      <w:pPr>
        <w:widowControl w:val="0"/>
        <w:tabs>
          <w:tab w:val="left" w:pos="0"/>
        </w:tabs>
        <w:rPr>
          <w:rFonts w:ascii="Calibri" w:hAnsi="Calibri" w:cs="Times New Roman"/>
          <w:b/>
          <w:bCs/>
        </w:rPr>
      </w:pPr>
    </w:p>
    <w:p w14:paraId="331A3ECD" w14:textId="77777777" w:rsidR="001B3582" w:rsidRPr="006C43BC" w:rsidRDefault="001B3582" w:rsidP="001B3582">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B3582" w:rsidRPr="006C43BC" w14:paraId="337DC0C9" w14:textId="77777777" w:rsidTr="00A14EFC">
        <w:tc>
          <w:tcPr>
            <w:tcW w:w="11016" w:type="dxa"/>
            <w:shd w:val="clear" w:color="auto" w:fill="D9D9D9"/>
          </w:tcPr>
          <w:p w14:paraId="10E81BC3" w14:textId="77777777" w:rsidR="001B3582" w:rsidRPr="00A14EFC" w:rsidRDefault="001B3582" w:rsidP="00A14EFC">
            <w:pPr>
              <w:widowControl w:val="0"/>
              <w:tabs>
                <w:tab w:val="left" w:pos="0"/>
              </w:tabs>
              <w:rPr>
                <w:rFonts w:ascii="Calibri" w:hAnsi="Calibri" w:cs="Times New Roman"/>
                <w:bCs/>
                <w:color w:val="auto"/>
              </w:rPr>
            </w:pPr>
          </w:p>
        </w:tc>
      </w:tr>
    </w:tbl>
    <w:p w14:paraId="7A59BAA7" w14:textId="77777777" w:rsidR="001B3582" w:rsidRPr="00EA2B8A" w:rsidRDefault="001B3582" w:rsidP="00EA2B8A"/>
    <w:p w14:paraId="5F5A9E7D" w14:textId="77777777" w:rsidR="001B3582" w:rsidRDefault="001B3582" w:rsidP="001B3582">
      <w:pPr>
        <w:rPr>
          <w:rFonts w:ascii="Calibri" w:hAnsi="Calibri"/>
        </w:rPr>
      </w:pPr>
    </w:p>
    <w:p w14:paraId="327F0B23" w14:textId="77777777" w:rsidR="00307E53" w:rsidRPr="006C43BC" w:rsidRDefault="00307E53" w:rsidP="001B3582">
      <w:pPr>
        <w:rPr>
          <w:rFonts w:ascii="Calibri" w:hAnsi="Calibri"/>
        </w:rPr>
      </w:pPr>
    </w:p>
    <w:p w14:paraId="4EDAFC81" w14:textId="77777777" w:rsidR="00307E53" w:rsidRPr="00501FCB" w:rsidRDefault="00307E53" w:rsidP="00307E53">
      <w:pPr>
        <w:pStyle w:val="Heading1"/>
        <w:rPr>
          <w:rFonts w:ascii="Calibri" w:hAnsi="Calibri"/>
          <w:b/>
          <w:color w:val="auto"/>
          <w:sz w:val="24"/>
          <w:szCs w:val="22"/>
          <w:u w:val="single"/>
        </w:rPr>
      </w:pPr>
      <w:r w:rsidRPr="00501FCB">
        <w:rPr>
          <w:rFonts w:ascii="Calibri" w:hAnsi="Calibri"/>
          <w:b/>
          <w:color w:val="auto"/>
          <w:sz w:val="24"/>
          <w:szCs w:val="22"/>
          <w:u w:val="single"/>
        </w:rPr>
        <w:t>R</w:t>
      </w:r>
      <w:r w:rsidR="00BA39D3" w:rsidRPr="00501FCB">
        <w:rPr>
          <w:rFonts w:ascii="Calibri" w:hAnsi="Calibri"/>
          <w:b/>
          <w:color w:val="auto"/>
          <w:sz w:val="24"/>
          <w:szCs w:val="22"/>
          <w:u w:val="single"/>
        </w:rPr>
        <w:t>3</w:t>
      </w:r>
      <w:r w:rsidRPr="00501FCB">
        <w:rPr>
          <w:rFonts w:ascii="Calibri" w:hAnsi="Calibri"/>
          <w:b/>
          <w:color w:val="auto"/>
          <w:sz w:val="24"/>
          <w:szCs w:val="22"/>
          <w:u w:val="single"/>
        </w:rPr>
        <w:t xml:space="preserve"> </w:t>
      </w:r>
      <w:r w:rsidR="00EA2B8A" w:rsidRPr="00EA2B8A">
        <w:rPr>
          <w:rFonts w:ascii="Calibri" w:hAnsi="Calibri"/>
          <w:b/>
          <w:color w:val="auto"/>
          <w:sz w:val="24"/>
          <w:szCs w:val="22"/>
          <w:u w:val="single"/>
        </w:rPr>
        <w:t>Language of Retired Requirement</w:t>
      </w:r>
    </w:p>
    <w:p w14:paraId="4215C2F2" w14:textId="77777777" w:rsidR="00647DE0" w:rsidRPr="00A5384D" w:rsidRDefault="00647DE0" w:rsidP="00647DE0">
      <w:pPr>
        <w:spacing w:after="120"/>
        <w:ind w:left="936" w:hanging="576"/>
        <w:rPr>
          <w:rFonts w:ascii="Times New Roman" w:hAnsi="Times New Roman" w:cs="Times New Roman"/>
        </w:rPr>
      </w:pPr>
      <w:r w:rsidRPr="00A5384D">
        <w:rPr>
          <w:rFonts w:ascii="Times New Roman" w:hAnsi="Times New Roman" w:cs="Times New Roman"/>
          <w:b/>
          <w:bCs/>
        </w:rPr>
        <w:t>R3.</w:t>
      </w:r>
      <w:r w:rsidRPr="00A5384D">
        <w:rPr>
          <w:rFonts w:ascii="Times New Roman" w:hAnsi="Times New Roman" w:cs="Times New Roman"/>
          <w:b/>
          <w:bCs/>
        </w:rPr>
        <w:tab/>
      </w:r>
      <w:r w:rsidRPr="00A5384D">
        <w:rPr>
          <w:rFonts w:ascii="Times New Roman" w:hAnsi="Times New Roman" w:cs="Times New Roman"/>
        </w:rPr>
        <w:t>If a recipient of the Transfer Capability methodology provides documented concerns with the methodology, the Planning Coordinator shall provide a documented response to that recipient within 45 calendar days of receipt of those comments. The response shall indicate whether a change will be made to the Transfer Capability methodology and, if no change will be made to that Transfer Capability methodology, the reason why.</w:t>
      </w:r>
      <w:r w:rsidRPr="00A5384D">
        <w:rPr>
          <w:rFonts w:ascii="Times New Roman" w:hAnsi="Times New Roman" w:cs="Times New Roman"/>
          <w:i/>
          <w:iCs/>
        </w:rPr>
        <w:t xml:space="preserve"> </w:t>
      </w:r>
    </w:p>
    <w:p w14:paraId="57E48ED6" w14:textId="77777777" w:rsidR="00307E53" w:rsidRPr="00EA2B8A" w:rsidRDefault="00EA2B8A" w:rsidP="00307E53">
      <w:pPr>
        <w:rPr>
          <w:rFonts w:ascii="Calibri" w:hAnsi="Calibri" w:cs="Times New Roman"/>
          <w:b/>
          <w:color w:val="FF0000"/>
        </w:rPr>
      </w:pPr>
      <w:r w:rsidRPr="00EA2B8A">
        <w:rPr>
          <w:rFonts w:ascii="Calibri" w:hAnsi="Calibri" w:cs="Times New Roman"/>
          <w:b/>
          <w:color w:val="FF0000"/>
        </w:rPr>
        <w:t>(Retirement approved by FERC effective January 21, 2014.)</w:t>
      </w:r>
    </w:p>
    <w:p w14:paraId="7648882C" w14:textId="77777777" w:rsidR="00AE4630" w:rsidRPr="00AE4630" w:rsidRDefault="00AE4630" w:rsidP="00AE4630"/>
    <w:p w14:paraId="579CF76B" w14:textId="77777777" w:rsidR="00307E53" w:rsidRPr="00501FCB" w:rsidRDefault="00307E53" w:rsidP="00307E53">
      <w:pPr>
        <w:pStyle w:val="Heading1"/>
        <w:rPr>
          <w:rFonts w:ascii="Calibri" w:hAnsi="Calibri"/>
          <w:b/>
          <w:color w:val="auto"/>
          <w:sz w:val="24"/>
          <w:szCs w:val="22"/>
          <w:u w:val="single"/>
        </w:rPr>
      </w:pPr>
      <w:r w:rsidRPr="00501FCB">
        <w:rPr>
          <w:rFonts w:ascii="Calibri" w:hAnsi="Calibri"/>
          <w:b/>
          <w:color w:val="auto"/>
          <w:sz w:val="24"/>
          <w:szCs w:val="22"/>
          <w:u w:val="single"/>
        </w:rPr>
        <w:t>R</w:t>
      </w:r>
      <w:r w:rsidR="00BA39D3" w:rsidRPr="00501FCB">
        <w:rPr>
          <w:rFonts w:ascii="Calibri" w:hAnsi="Calibri"/>
          <w:b/>
          <w:color w:val="auto"/>
          <w:sz w:val="24"/>
          <w:szCs w:val="22"/>
          <w:u w:val="single"/>
        </w:rPr>
        <w:t>4</w:t>
      </w:r>
      <w:r w:rsidRPr="00501FCB">
        <w:rPr>
          <w:rFonts w:ascii="Calibri" w:hAnsi="Calibri"/>
          <w:b/>
          <w:color w:val="auto"/>
          <w:sz w:val="24"/>
          <w:szCs w:val="22"/>
          <w:u w:val="single"/>
        </w:rPr>
        <w:t xml:space="preserve"> Supporting Evidence and Documentation</w:t>
      </w:r>
    </w:p>
    <w:p w14:paraId="3BCCB264" w14:textId="77777777" w:rsidR="00AE4630" w:rsidRPr="00A5384D" w:rsidRDefault="00AE4630" w:rsidP="00AE4630">
      <w:pPr>
        <w:spacing w:after="120"/>
        <w:ind w:left="936" w:hanging="576"/>
        <w:rPr>
          <w:rFonts w:ascii="Times New Roman" w:hAnsi="Times New Roman" w:cs="Times New Roman"/>
        </w:rPr>
      </w:pPr>
      <w:r w:rsidRPr="00A5384D">
        <w:rPr>
          <w:rFonts w:ascii="Times New Roman" w:hAnsi="Times New Roman" w:cs="Times New Roman"/>
          <w:b/>
          <w:bCs/>
        </w:rPr>
        <w:t>R4.</w:t>
      </w:r>
      <w:r w:rsidRPr="00A5384D">
        <w:rPr>
          <w:rFonts w:ascii="Times New Roman" w:hAnsi="Times New Roman" w:cs="Times New Roman"/>
          <w:b/>
          <w:bCs/>
        </w:rPr>
        <w:tab/>
      </w:r>
      <w:r w:rsidRPr="00A5384D">
        <w:rPr>
          <w:rFonts w:ascii="Times New Roman" w:hAnsi="Times New Roman" w:cs="Times New Roman"/>
        </w:rPr>
        <w:t>During each calendar year, each Planning Coordinator shall conduct simulations and document an assessment based on those simulations in accordance with its Transfer Capability methodology for at least one year in the Near-Term Transmission Planning Horizon.</w:t>
      </w:r>
    </w:p>
    <w:p w14:paraId="36E47D19" w14:textId="77777777" w:rsidR="00307E53" w:rsidRPr="006C43BC" w:rsidRDefault="00307E53" w:rsidP="00307E53">
      <w:pPr>
        <w:rPr>
          <w:rFonts w:ascii="Calibri" w:hAnsi="Calibri" w:cs="Times New Roman"/>
          <w:b/>
        </w:rPr>
      </w:pPr>
    </w:p>
    <w:p w14:paraId="769FE898" w14:textId="77777777" w:rsidR="00307E53" w:rsidRPr="006C43BC" w:rsidRDefault="00307E53" w:rsidP="00307E53">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14:paraId="6FAAF81E" w14:textId="77777777" w:rsidR="00307E53" w:rsidRPr="006C43BC" w:rsidRDefault="00307E53" w:rsidP="00307E53">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14:paraId="0CFD7C21" w14:textId="77777777" w:rsidR="00307E53" w:rsidRPr="006C43BC" w:rsidRDefault="00307E53" w:rsidP="00C41854">
      <w:pPr>
        <w:widowControl w:val="0"/>
        <w:shd w:val="clear" w:color="auto" w:fill="D3DCE9"/>
        <w:jc w:val="both"/>
        <w:rPr>
          <w:rFonts w:ascii="Calibri" w:hAnsi="Calibri" w:cs="Times New Roman"/>
          <w:bCs/>
          <w:color w:val="0070C0"/>
        </w:rPr>
      </w:pPr>
    </w:p>
    <w:p w14:paraId="738FC0BF" w14:textId="77777777" w:rsidR="00307E53" w:rsidRPr="006C43BC" w:rsidRDefault="00307E53" w:rsidP="00C41854">
      <w:pPr>
        <w:widowControl w:val="0"/>
        <w:shd w:val="clear" w:color="auto" w:fill="D3DCE9"/>
        <w:jc w:val="both"/>
        <w:rPr>
          <w:rFonts w:ascii="Calibri" w:hAnsi="Calibri" w:cs="Times New Roman"/>
          <w:bCs/>
          <w:color w:val="0070C0"/>
        </w:rPr>
      </w:pPr>
    </w:p>
    <w:p w14:paraId="6CE25984" w14:textId="77777777" w:rsidR="00307E53" w:rsidRPr="006C43BC" w:rsidRDefault="00307E53" w:rsidP="00307E53">
      <w:pPr>
        <w:widowControl w:val="0"/>
        <w:spacing w:line="266" w:lineRule="exact"/>
        <w:rPr>
          <w:rFonts w:ascii="Calibri" w:hAnsi="Calibri" w:cs="Times New Roman"/>
          <w:b/>
          <w:bCs/>
        </w:rPr>
      </w:pPr>
    </w:p>
    <w:p w14:paraId="42912027" w14:textId="77777777" w:rsidR="00307E53" w:rsidRPr="006C43BC" w:rsidRDefault="00307E53" w:rsidP="00307E53">
      <w:pPr>
        <w:widowControl w:val="0"/>
        <w:spacing w:line="266" w:lineRule="exact"/>
        <w:rPr>
          <w:rFonts w:ascii="Calibri" w:hAnsi="Calibri" w:cs="Calibri"/>
          <w:b/>
          <w:bCs/>
          <w:i/>
          <w:iCs/>
        </w:rPr>
      </w:pPr>
      <w:r w:rsidRPr="006C43BC">
        <w:rPr>
          <w:rFonts w:ascii="Calibri" w:hAnsi="Calibri" w:cs="Times New Roman"/>
          <w:b/>
          <w:bCs/>
          <w:color w:val="auto"/>
        </w:rPr>
        <w:lastRenderedPageBreak/>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07E53" w:rsidRPr="006C43BC" w14:paraId="5BF4FF62" w14:textId="77777777" w:rsidTr="00307E53">
        <w:tc>
          <w:tcPr>
            <w:tcW w:w="11016" w:type="dxa"/>
            <w:shd w:val="clear" w:color="auto" w:fill="DBE5F1"/>
          </w:tcPr>
          <w:p w14:paraId="548B541B" w14:textId="77777777" w:rsidR="00307E53" w:rsidRPr="00A14EFC" w:rsidRDefault="00307E53" w:rsidP="00307E53">
            <w:pPr>
              <w:widowControl w:val="0"/>
              <w:tabs>
                <w:tab w:val="left" w:pos="0"/>
              </w:tabs>
              <w:rPr>
                <w:rFonts w:ascii="Calibri" w:hAnsi="Calibri" w:cs="Times New Roman"/>
                <w:bCs/>
                <w:color w:val="auto"/>
              </w:rPr>
            </w:pPr>
            <w:r w:rsidRPr="00A14EFC">
              <w:rPr>
                <w:rFonts w:ascii="Calibri" w:hAnsi="Calibri" w:cs="Times New Roman"/>
                <w:bCs/>
                <w:color w:val="auto"/>
              </w:rPr>
              <w:t>Provide the following for all evidence submitted (</w:t>
            </w:r>
            <w:r w:rsidRPr="00A14EFC">
              <w:rPr>
                <w:rFonts w:ascii="Calibri" w:hAnsi="Calibri" w:cs="Times New Roman"/>
              </w:rPr>
              <w:t>Insert additional rows if necessary)</w:t>
            </w:r>
            <w:r w:rsidRPr="00A14EFC">
              <w:rPr>
                <w:rFonts w:ascii="Calibri" w:hAnsi="Calibri" w:cs="Times New Roman"/>
                <w:bCs/>
                <w:color w:val="auto"/>
              </w:rPr>
              <w:t>:</w:t>
            </w:r>
          </w:p>
          <w:p w14:paraId="002664C8" w14:textId="77777777" w:rsidR="00307E53" w:rsidRPr="00A14EFC" w:rsidRDefault="00307E53" w:rsidP="00307E53">
            <w:pPr>
              <w:widowControl w:val="0"/>
              <w:rPr>
                <w:rFonts w:ascii="Calibri" w:hAnsi="Calibri" w:cs="Times New Roman"/>
              </w:rPr>
            </w:pPr>
            <w:r w:rsidRPr="00A14EFC">
              <w:rPr>
                <w:rFonts w:ascii="Calibri" w:hAnsi="Calibri" w:cs="Times New Roman"/>
                <w:bCs/>
                <w:color w:val="auto"/>
              </w:rPr>
              <w:tab/>
              <w:t xml:space="preserve">File Name, File </w:t>
            </w:r>
            <w:r w:rsidR="008302E3">
              <w:rPr>
                <w:rFonts w:ascii="Calibri" w:hAnsi="Calibri" w:cs="Times New Roman"/>
                <w:bCs/>
                <w:color w:val="auto"/>
              </w:rPr>
              <w:t>Extension</w:t>
            </w:r>
            <w:r w:rsidRPr="00A14EFC">
              <w:rPr>
                <w:rFonts w:ascii="Calibri" w:hAnsi="Calibri" w:cs="Times New Roman"/>
                <w:bCs/>
                <w:color w:val="auto"/>
              </w:rPr>
              <w:t xml:space="preserve">, Document Title, Revision, Date, Page(s), Section(s), Section Title(s), </w:t>
            </w:r>
            <w:r w:rsidRPr="00A14EFC">
              <w:rPr>
                <w:rFonts w:ascii="Calibri" w:hAnsi="Calibri" w:cs="Times New Roman"/>
                <w:bCs/>
                <w:color w:val="auto"/>
              </w:rPr>
              <w:tab/>
              <w:t>Description</w:t>
            </w:r>
          </w:p>
        </w:tc>
      </w:tr>
      <w:tr w:rsidR="00307E53" w:rsidRPr="006C43BC" w14:paraId="5EE8AD0C" w14:textId="77777777" w:rsidTr="00307E53">
        <w:tc>
          <w:tcPr>
            <w:tcW w:w="11016" w:type="dxa"/>
          </w:tcPr>
          <w:p w14:paraId="60F62B51" w14:textId="77777777" w:rsidR="00307E53" w:rsidRPr="00A14EFC" w:rsidRDefault="00307E53" w:rsidP="00307E53">
            <w:pPr>
              <w:widowControl w:val="0"/>
              <w:jc w:val="both"/>
              <w:rPr>
                <w:rFonts w:ascii="Calibri" w:hAnsi="Calibri" w:cs="Times New Roman"/>
                <w:color w:val="0070C0"/>
              </w:rPr>
            </w:pPr>
          </w:p>
        </w:tc>
      </w:tr>
      <w:tr w:rsidR="00307E53" w:rsidRPr="006C43BC" w14:paraId="7E2E19C5" w14:textId="77777777" w:rsidTr="00307E53">
        <w:tc>
          <w:tcPr>
            <w:tcW w:w="11016" w:type="dxa"/>
          </w:tcPr>
          <w:p w14:paraId="1F439169" w14:textId="77777777" w:rsidR="00307E53" w:rsidRPr="00A14EFC" w:rsidRDefault="00307E53" w:rsidP="00307E53">
            <w:pPr>
              <w:widowControl w:val="0"/>
              <w:jc w:val="both"/>
              <w:rPr>
                <w:rFonts w:ascii="Calibri" w:hAnsi="Calibri" w:cs="Times New Roman"/>
                <w:color w:val="0070C0"/>
              </w:rPr>
            </w:pPr>
          </w:p>
        </w:tc>
      </w:tr>
      <w:tr w:rsidR="00307E53" w:rsidRPr="006C43BC" w14:paraId="0A57B0DF" w14:textId="77777777" w:rsidTr="00307E53">
        <w:tc>
          <w:tcPr>
            <w:tcW w:w="11016" w:type="dxa"/>
          </w:tcPr>
          <w:p w14:paraId="499F9659" w14:textId="77777777" w:rsidR="00307E53" w:rsidRPr="00A14EFC" w:rsidRDefault="00307E53" w:rsidP="00307E53">
            <w:pPr>
              <w:widowControl w:val="0"/>
              <w:jc w:val="both"/>
              <w:rPr>
                <w:rFonts w:ascii="Calibri" w:hAnsi="Calibri" w:cs="Times New Roman"/>
                <w:color w:val="0070C0"/>
              </w:rPr>
            </w:pPr>
          </w:p>
        </w:tc>
      </w:tr>
    </w:tbl>
    <w:p w14:paraId="61291B00" w14:textId="77777777" w:rsidR="00307E53" w:rsidRPr="006C43BC" w:rsidRDefault="00307E53" w:rsidP="00307E53">
      <w:pPr>
        <w:widowControl w:val="0"/>
        <w:rPr>
          <w:rFonts w:ascii="Calibri" w:hAnsi="Calibri" w:cs="Times New Roman"/>
        </w:rPr>
      </w:pPr>
    </w:p>
    <w:p w14:paraId="00FDAD7D" w14:textId="77777777" w:rsidR="00307E53" w:rsidRPr="006C43BC" w:rsidRDefault="00307E53" w:rsidP="00307E53">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307E53" w:rsidRPr="006C43BC" w14:paraId="431B7DE8" w14:textId="77777777" w:rsidTr="00307E53">
        <w:tc>
          <w:tcPr>
            <w:tcW w:w="11016" w:type="dxa"/>
            <w:shd w:val="clear" w:color="auto" w:fill="D9D9D9"/>
          </w:tcPr>
          <w:p w14:paraId="1EF549C3" w14:textId="77777777" w:rsidR="00307E53" w:rsidRPr="00A14EFC" w:rsidRDefault="00307E53" w:rsidP="00307E53">
            <w:pPr>
              <w:widowControl w:val="0"/>
              <w:rPr>
                <w:rFonts w:ascii="Calibri" w:hAnsi="Calibri" w:cs="Times New Roman"/>
              </w:rPr>
            </w:pPr>
          </w:p>
        </w:tc>
      </w:tr>
      <w:tr w:rsidR="00307E53" w:rsidRPr="006C43BC" w14:paraId="49670C37" w14:textId="77777777" w:rsidTr="00307E53">
        <w:tc>
          <w:tcPr>
            <w:tcW w:w="11016" w:type="dxa"/>
            <w:shd w:val="clear" w:color="auto" w:fill="D9D9D9"/>
          </w:tcPr>
          <w:p w14:paraId="10B9F7E0" w14:textId="77777777" w:rsidR="00307E53" w:rsidRPr="00A14EFC" w:rsidRDefault="00307E53" w:rsidP="00307E53">
            <w:pPr>
              <w:widowControl w:val="0"/>
              <w:rPr>
                <w:rFonts w:ascii="Calibri" w:hAnsi="Calibri" w:cs="Times New Roman"/>
              </w:rPr>
            </w:pPr>
          </w:p>
        </w:tc>
      </w:tr>
      <w:tr w:rsidR="00307E53" w:rsidRPr="006C43BC" w14:paraId="3B9FA0FF" w14:textId="77777777" w:rsidTr="00307E53">
        <w:tc>
          <w:tcPr>
            <w:tcW w:w="11016" w:type="dxa"/>
            <w:shd w:val="clear" w:color="auto" w:fill="D9D9D9"/>
          </w:tcPr>
          <w:p w14:paraId="114C6A88" w14:textId="77777777" w:rsidR="00307E53" w:rsidRPr="00A14EFC" w:rsidRDefault="00307E53" w:rsidP="00307E53">
            <w:pPr>
              <w:widowControl w:val="0"/>
              <w:rPr>
                <w:rFonts w:ascii="Calibri" w:hAnsi="Calibri" w:cs="Times New Roman"/>
              </w:rPr>
            </w:pPr>
          </w:p>
        </w:tc>
      </w:tr>
    </w:tbl>
    <w:p w14:paraId="75F03C50" w14:textId="77777777" w:rsidR="00307E53" w:rsidRPr="006C43BC" w:rsidRDefault="00307E53" w:rsidP="00307E53">
      <w:pPr>
        <w:widowControl w:val="0"/>
        <w:rPr>
          <w:rFonts w:ascii="Calibri" w:hAnsi="Calibri" w:cs="Times New Roman"/>
        </w:rPr>
      </w:pPr>
    </w:p>
    <w:p w14:paraId="1C46B590" w14:textId="77777777" w:rsidR="00307E53" w:rsidRPr="00501FCB" w:rsidRDefault="00307E53" w:rsidP="00307E53">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07E53">
        <w:rPr>
          <w:rFonts w:ascii="Calibri" w:hAnsi="Calibri"/>
          <w:b/>
        </w:rPr>
        <w:t xml:space="preserve">Compliance Assessment Approach Specific to </w:t>
      </w:r>
      <w:r>
        <w:rPr>
          <w:rFonts w:ascii="Calibri" w:hAnsi="Calibri"/>
          <w:b/>
        </w:rPr>
        <w:t>FAC</w:t>
      </w:r>
      <w:r w:rsidRPr="00307E53">
        <w:rPr>
          <w:rFonts w:ascii="Calibri" w:hAnsi="Calibri"/>
          <w:b/>
        </w:rPr>
        <w:t>-0</w:t>
      </w:r>
      <w:r>
        <w:rPr>
          <w:rFonts w:ascii="Calibri" w:hAnsi="Calibri"/>
          <w:b/>
        </w:rPr>
        <w:t>13</w:t>
      </w:r>
      <w:r w:rsidRPr="00307E53">
        <w:rPr>
          <w:rFonts w:ascii="Calibri" w:hAnsi="Calibri"/>
          <w:b/>
        </w:rPr>
        <w:t>-</w:t>
      </w:r>
      <w:r>
        <w:rPr>
          <w:rFonts w:ascii="Calibri" w:hAnsi="Calibri"/>
          <w:b/>
        </w:rPr>
        <w:t>2</w:t>
      </w:r>
      <w:r w:rsidRPr="00307E53">
        <w:rPr>
          <w:rFonts w:ascii="Calibri" w:hAnsi="Calibri"/>
          <w:b/>
        </w:rPr>
        <w:t>, R</w:t>
      </w:r>
      <w:r>
        <w:rPr>
          <w:rFonts w:ascii="Calibri" w:hAnsi="Calibri"/>
          <w:b/>
        </w:rPr>
        <w:t>4</w:t>
      </w:r>
    </w:p>
    <w:p w14:paraId="5FB00963" w14:textId="77777777" w:rsidR="00307E53" w:rsidRPr="00BA39D3" w:rsidRDefault="00BA39D3" w:rsidP="00307E53">
      <w:pPr>
        <w:tabs>
          <w:tab w:val="left" w:pos="1080"/>
        </w:tabs>
        <w:rPr>
          <w:rFonts w:ascii="Calibri" w:hAnsi="Calibri"/>
          <w:b/>
          <w:color w:val="FF0000"/>
          <w:sz w:val="22"/>
        </w:rPr>
      </w:pPr>
      <w:r>
        <w:rPr>
          <w:rFonts w:ascii="Calibri" w:hAnsi="Calibri"/>
          <w:b/>
          <w:color w:val="FF0000"/>
          <w:sz w:val="22"/>
        </w:rPr>
        <w:t>(</w:t>
      </w:r>
      <w:r w:rsidR="00307E53" w:rsidRPr="00BA39D3">
        <w:rPr>
          <w:rFonts w:ascii="Calibri" w:hAnsi="Calibri"/>
          <w:b/>
          <w:color w:val="FF0000"/>
          <w:sz w:val="22"/>
        </w:rPr>
        <w:t>This section must be completed by the Compliance Enforcement Authority</w:t>
      </w:r>
      <w:r>
        <w:rPr>
          <w:rFonts w:ascii="Calibri" w:hAnsi="Calibri"/>
          <w:b/>
          <w:color w:val="FF0000"/>
          <w:sz w:val="22"/>
        </w:rPr>
        <w:t>)</w:t>
      </w:r>
    </w:p>
    <w:p w14:paraId="7F64FE04" w14:textId="77777777" w:rsidR="00307E53" w:rsidRPr="006C43BC" w:rsidRDefault="00307E53" w:rsidP="00307E53">
      <w:pPr>
        <w:widowControl w:val="0"/>
        <w:tabs>
          <w:tab w:val="left" w:pos="0"/>
          <w:tab w:val="left" w:pos="900"/>
          <w:tab w:val="left" w:pos="6360"/>
        </w:tabs>
        <w:rPr>
          <w:rFonts w:ascii="Calibri" w:hAnsi="Calibri" w:cs="Times New Roman"/>
          <w:iCs/>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307E53" w:rsidRPr="006C43BC" w14:paraId="35DE5C6F" w14:textId="77777777" w:rsidTr="00307E53">
        <w:tc>
          <w:tcPr>
            <w:tcW w:w="378" w:type="dxa"/>
          </w:tcPr>
          <w:p w14:paraId="6071E499" w14:textId="77777777" w:rsidR="00307E53" w:rsidRPr="00307E53" w:rsidRDefault="00307E53" w:rsidP="00307E53">
            <w:pPr>
              <w:widowControl w:val="0"/>
              <w:tabs>
                <w:tab w:val="left" w:pos="0"/>
                <w:tab w:val="left" w:pos="900"/>
                <w:tab w:val="left" w:pos="6360"/>
              </w:tabs>
              <w:rPr>
                <w:rFonts w:ascii="Calibri" w:hAnsi="Calibri" w:cs="Times New Roman"/>
                <w:color w:val="auto"/>
              </w:rPr>
            </w:pPr>
          </w:p>
        </w:tc>
        <w:tc>
          <w:tcPr>
            <w:tcW w:w="10638" w:type="dxa"/>
          </w:tcPr>
          <w:p w14:paraId="0C5BB93F" w14:textId="77777777" w:rsidR="00307E53" w:rsidRPr="00307E53" w:rsidRDefault="00AE4630" w:rsidP="00AE4630">
            <w:pPr>
              <w:widowControl w:val="0"/>
              <w:spacing w:after="120"/>
              <w:rPr>
                <w:rFonts w:ascii="Calibri" w:hAnsi="Calibri" w:cs="Times New Roman"/>
                <w:color w:val="auto"/>
              </w:rPr>
            </w:pPr>
            <w:r w:rsidRPr="00AE4630">
              <w:rPr>
                <w:rFonts w:ascii="Calibri" w:hAnsi="Calibri" w:cs="Times New Roman"/>
                <w:color w:val="auto"/>
              </w:rPr>
              <w:t>Determine if, during each calendar year, the entity:</w:t>
            </w:r>
          </w:p>
        </w:tc>
      </w:tr>
      <w:tr w:rsidR="00307E53" w:rsidRPr="006C43BC" w14:paraId="24357ABB" w14:textId="77777777" w:rsidTr="00307E53">
        <w:tc>
          <w:tcPr>
            <w:tcW w:w="378" w:type="dxa"/>
          </w:tcPr>
          <w:p w14:paraId="2E8CF128" w14:textId="77777777" w:rsidR="00307E53" w:rsidRPr="00307E53" w:rsidRDefault="00307E53" w:rsidP="00307E53">
            <w:pPr>
              <w:widowControl w:val="0"/>
              <w:tabs>
                <w:tab w:val="left" w:pos="0"/>
                <w:tab w:val="left" w:pos="900"/>
                <w:tab w:val="left" w:pos="6360"/>
              </w:tabs>
              <w:rPr>
                <w:rFonts w:ascii="Calibri" w:hAnsi="Calibri" w:cs="Times New Roman"/>
                <w:color w:val="auto"/>
              </w:rPr>
            </w:pPr>
          </w:p>
        </w:tc>
        <w:tc>
          <w:tcPr>
            <w:tcW w:w="10638" w:type="dxa"/>
          </w:tcPr>
          <w:p w14:paraId="700C5568" w14:textId="77777777" w:rsidR="00307E53" w:rsidRPr="00A14EFC" w:rsidRDefault="00AE4630" w:rsidP="00307E53">
            <w:pPr>
              <w:widowControl w:val="0"/>
              <w:tabs>
                <w:tab w:val="left" w:pos="0"/>
                <w:tab w:val="left" w:pos="900"/>
                <w:tab w:val="left" w:pos="6360"/>
              </w:tabs>
              <w:rPr>
                <w:rFonts w:ascii="Calibri" w:hAnsi="Calibri" w:cs="Times New Roman"/>
                <w:color w:val="auto"/>
              </w:rPr>
            </w:pPr>
            <w:r w:rsidRPr="00AE4630">
              <w:rPr>
                <w:rFonts w:ascii="Calibri" w:hAnsi="Calibri" w:cs="Times New Roman"/>
                <w:color w:val="auto"/>
              </w:rPr>
              <w:t>Conducted simulations.</w:t>
            </w:r>
          </w:p>
        </w:tc>
      </w:tr>
      <w:tr w:rsidR="00307E53" w:rsidRPr="006C43BC" w14:paraId="450F828D" w14:textId="77777777" w:rsidTr="00307E53">
        <w:tc>
          <w:tcPr>
            <w:tcW w:w="378" w:type="dxa"/>
          </w:tcPr>
          <w:p w14:paraId="32B22CD4" w14:textId="77777777" w:rsidR="00307E53" w:rsidRPr="00307E53" w:rsidRDefault="00307E53" w:rsidP="00307E53">
            <w:pPr>
              <w:widowControl w:val="0"/>
              <w:tabs>
                <w:tab w:val="left" w:pos="0"/>
                <w:tab w:val="left" w:pos="900"/>
                <w:tab w:val="left" w:pos="6360"/>
              </w:tabs>
              <w:rPr>
                <w:rFonts w:ascii="Calibri" w:hAnsi="Calibri" w:cs="Times New Roman"/>
                <w:color w:val="auto"/>
              </w:rPr>
            </w:pPr>
          </w:p>
        </w:tc>
        <w:tc>
          <w:tcPr>
            <w:tcW w:w="10638" w:type="dxa"/>
          </w:tcPr>
          <w:p w14:paraId="786E9322" w14:textId="77777777" w:rsidR="00307E53" w:rsidRPr="00307E53" w:rsidRDefault="00AE4630" w:rsidP="00307E53">
            <w:pPr>
              <w:widowControl w:val="0"/>
              <w:tabs>
                <w:tab w:val="left" w:pos="0"/>
                <w:tab w:val="left" w:pos="900"/>
                <w:tab w:val="left" w:pos="6360"/>
              </w:tabs>
              <w:rPr>
                <w:rFonts w:ascii="Calibri" w:hAnsi="Calibri" w:cs="Times New Roman"/>
                <w:color w:val="auto"/>
              </w:rPr>
            </w:pPr>
            <w:r w:rsidRPr="00AE4630">
              <w:rPr>
                <w:rFonts w:ascii="Calibri" w:hAnsi="Calibri" w:cs="Times New Roman"/>
                <w:color w:val="auto"/>
              </w:rPr>
              <w:t>Documented an assessment based on those simulations in accordance with its Transfer Capability methodology for at least one year in the Near-Term Transmission Planning Horizon.</w:t>
            </w:r>
          </w:p>
        </w:tc>
      </w:tr>
      <w:tr w:rsidR="00307E53" w:rsidRPr="006C43BC" w14:paraId="2C20F4DD" w14:textId="77777777" w:rsidTr="00307E53">
        <w:tc>
          <w:tcPr>
            <w:tcW w:w="11016" w:type="dxa"/>
            <w:gridSpan w:val="2"/>
            <w:shd w:val="clear" w:color="auto" w:fill="D9D9D9"/>
          </w:tcPr>
          <w:p w14:paraId="7F103728" w14:textId="77777777" w:rsidR="00307E53" w:rsidRPr="00A14EFC" w:rsidRDefault="00307E53" w:rsidP="00C41854">
            <w:pPr>
              <w:widowControl w:val="0"/>
              <w:tabs>
                <w:tab w:val="left" w:pos="0"/>
                <w:tab w:val="left" w:pos="801"/>
              </w:tabs>
              <w:rPr>
                <w:rFonts w:ascii="Calibri" w:hAnsi="Calibri" w:cs="Times New Roman"/>
                <w:bCs/>
                <w:color w:val="auto"/>
              </w:rPr>
            </w:pPr>
            <w:r w:rsidRPr="00A14EFC">
              <w:rPr>
                <w:rFonts w:ascii="Calibri" w:hAnsi="Calibri" w:cs="Times New Roman"/>
                <w:b/>
                <w:bCs/>
                <w:color w:val="auto"/>
              </w:rPr>
              <w:t>Note to Auditor:</w:t>
            </w:r>
            <w:r w:rsidRPr="00A14EFC">
              <w:rPr>
                <w:rFonts w:ascii="Calibri" w:hAnsi="Calibri" w:cs="Times New Roman"/>
                <w:bCs/>
                <w:color w:val="auto"/>
              </w:rPr>
              <w:t xml:space="preserve"> </w:t>
            </w:r>
            <w:bookmarkStart w:id="4" w:name="_GoBack"/>
            <w:bookmarkEnd w:id="4"/>
          </w:p>
        </w:tc>
      </w:tr>
    </w:tbl>
    <w:p w14:paraId="075E9B87" w14:textId="77777777" w:rsidR="00307E53" w:rsidRPr="006C43BC" w:rsidRDefault="00307E53" w:rsidP="00307E53">
      <w:pPr>
        <w:widowControl w:val="0"/>
        <w:tabs>
          <w:tab w:val="left" w:pos="0"/>
        </w:tabs>
        <w:rPr>
          <w:rFonts w:ascii="Calibri" w:hAnsi="Calibri" w:cs="Times New Roman"/>
          <w:b/>
          <w:bCs/>
        </w:rPr>
      </w:pPr>
    </w:p>
    <w:p w14:paraId="53814A55" w14:textId="77777777" w:rsidR="00307E53" w:rsidRPr="006C43BC" w:rsidRDefault="00307E53" w:rsidP="00307E53">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07E53" w:rsidRPr="006C43BC" w14:paraId="78FCC69A" w14:textId="77777777" w:rsidTr="00307E53">
        <w:tc>
          <w:tcPr>
            <w:tcW w:w="11016" w:type="dxa"/>
            <w:shd w:val="clear" w:color="auto" w:fill="D9D9D9"/>
          </w:tcPr>
          <w:p w14:paraId="220D72E0" w14:textId="77777777" w:rsidR="00307E53" w:rsidRPr="00A14EFC" w:rsidRDefault="00307E53" w:rsidP="00307E53">
            <w:pPr>
              <w:widowControl w:val="0"/>
              <w:tabs>
                <w:tab w:val="left" w:pos="0"/>
              </w:tabs>
              <w:rPr>
                <w:rFonts w:ascii="Calibri" w:hAnsi="Calibri" w:cs="Times New Roman"/>
                <w:bCs/>
                <w:color w:val="auto"/>
              </w:rPr>
            </w:pPr>
          </w:p>
        </w:tc>
      </w:tr>
    </w:tbl>
    <w:p w14:paraId="145BE9E0" w14:textId="77777777" w:rsidR="00307E53" w:rsidRPr="00EA2B8A" w:rsidRDefault="00307E53" w:rsidP="00EA2B8A"/>
    <w:p w14:paraId="2527E774" w14:textId="77777777" w:rsidR="00A529D1" w:rsidRDefault="00A529D1" w:rsidP="00A529D1">
      <w:pPr>
        <w:rPr>
          <w:rFonts w:ascii="Calibri" w:hAnsi="Calibri"/>
        </w:rPr>
      </w:pPr>
    </w:p>
    <w:p w14:paraId="06E72602" w14:textId="77777777" w:rsidR="00DC520A" w:rsidRPr="006C43BC" w:rsidRDefault="00DC520A" w:rsidP="00A529D1">
      <w:pPr>
        <w:rPr>
          <w:rFonts w:ascii="Calibri" w:hAnsi="Calibri"/>
        </w:rPr>
      </w:pPr>
    </w:p>
    <w:p w14:paraId="6CA9DE89" w14:textId="77777777" w:rsidR="00307E53" w:rsidRPr="00501FCB" w:rsidRDefault="00307E53" w:rsidP="00307E53">
      <w:pPr>
        <w:pStyle w:val="Heading1"/>
        <w:rPr>
          <w:rFonts w:ascii="Calibri" w:hAnsi="Calibri"/>
          <w:b/>
          <w:color w:val="auto"/>
          <w:sz w:val="24"/>
          <w:szCs w:val="22"/>
          <w:u w:val="single"/>
        </w:rPr>
      </w:pPr>
      <w:r w:rsidRPr="00501FCB">
        <w:rPr>
          <w:rFonts w:ascii="Calibri" w:hAnsi="Calibri"/>
          <w:b/>
          <w:color w:val="auto"/>
          <w:sz w:val="24"/>
          <w:szCs w:val="22"/>
          <w:u w:val="single"/>
        </w:rPr>
        <w:t>R</w:t>
      </w:r>
      <w:r w:rsidR="00BA39D3" w:rsidRPr="00501FCB">
        <w:rPr>
          <w:rFonts w:ascii="Calibri" w:hAnsi="Calibri"/>
          <w:b/>
          <w:color w:val="auto"/>
          <w:sz w:val="24"/>
          <w:szCs w:val="22"/>
          <w:u w:val="single"/>
        </w:rPr>
        <w:t>5</w:t>
      </w:r>
      <w:r w:rsidRPr="00501FCB">
        <w:rPr>
          <w:rFonts w:ascii="Calibri" w:hAnsi="Calibri"/>
          <w:b/>
          <w:color w:val="auto"/>
          <w:sz w:val="24"/>
          <w:szCs w:val="22"/>
          <w:u w:val="single"/>
        </w:rPr>
        <w:t xml:space="preserve"> Supporting Evidence and Documentation</w:t>
      </w:r>
    </w:p>
    <w:p w14:paraId="4BCB165E" w14:textId="77777777" w:rsidR="00DC520A" w:rsidRPr="00A5384D" w:rsidRDefault="00DC520A" w:rsidP="00DC520A">
      <w:pPr>
        <w:spacing w:after="120"/>
        <w:ind w:left="936" w:hanging="576"/>
        <w:rPr>
          <w:rFonts w:ascii="Times New Roman" w:hAnsi="Times New Roman" w:cs="Times New Roman"/>
        </w:rPr>
      </w:pPr>
      <w:r w:rsidRPr="00A5384D">
        <w:rPr>
          <w:rFonts w:ascii="Times New Roman" w:hAnsi="Times New Roman" w:cs="Times New Roman"/>
          <w:b/>
          <w:bCs/>
        </w:rPr>
        <w:t>R5.</w:t>
      </w:r>
      <w:r w:rsidRPr="00A5384D">
        <w:rPr>
          <w:rFonts w:ascii="Times New Roman" w:hAnsi="Times New Roman" w:cs="Times New Roman"/>
          <w:b/>
          <w:bCs/>
        </w:rPr>
        <w:tab/>
      </w:r>
      <w:r w:rsidRPr="00A5384D">
        <w:rPr>
          <w:rFonts w:ascii="Times New Roman" w:hAnsi="Times New Roman" w:cs="Times New Roman"/>
        </w:rPr>
        <w:t>Each Planning Coordinator shall make the documented Transfer Capability assessment results available within 45 calendar days of the completion of the assessment to the recipients of its Transfer Capability methodology pursuant to Requirement R2, Parts 2.1 and Part 2.2. However, if a functional entity that has a reliability related need for the results of the annual assessment of the Transfer Capabilities makes a written request for such an assessment after the completion of the assessment, the Planning Coordinator shall make the documented Transfer Capability assessment results available to that entity within 45 calendar days of receipt of the request.</w:t>
      </w:r>
    </w:p>
    <w:p w14:paraId="492603DE" w14:textId="77777777" w:rsidR="00307E53" w:rsidRDefault="00307E53" w:rsidP="00307E53">
      <w:pPr>
        <w:rPr>
          <w:rFonts w:ascii="Calibri" w:hAnsi="Calibri" w:cs="Times New Roman"/>
          <w:b/>
        </w:rPr>
      </w:pPr>
    </w:p>
    <w:p w14:paraId="526F2ED1" w14:textId="77777777" w:rsidR="00DC520A" w:rsidRPr="00DC520A" w:rsidRDefault="00307E53" w:rsidP="00DC520A">
      <w:pPr>
        <w:rPr>
          <w:rFonts w:ascii="Calibri" w:hAnsi="Calibri" w:cs="Times New Roman"/>
          <w:color w:val="auto"/>
        </w:rPr>
      </w:pPr>
      <w:r w:rsidRPr="006C43BC">
        <w:rPr>
          <w:rFonts w:ascii="Calibri" w:hAnsi="Calibri" w:cs="Times New Roman"/>
          <w:b/>
        </w:rPr>
        <w:t xml:space="preserve">Question: </w:t>
      </w:r>
      <w:r w:rsidR="00DC520A" w:rsidRPr="00DC520A">
        <w:rPr>
          <w:rFonts w:ascii="Calibri" w:hAnsi="Calibri" w:cs="Times New Roman"/>
          <w:color w:val="auto"/>
        </w:rPr>
        <w:t xml:space="preserve">Has a functional entity made a written request for the annual assessment of the Transfer Capabilities after the completion of that assessment? </w:t>
      </w:r>
    </w:p>
    <w:p w14:paraId="0E63F998" w14:textId="77777777" w:rsidR="00307E53" w:rsidRDefault="00DC520A" w:rsidP="00DC520A">
      <w:pPr>
        <w:rPr>
          <w:rFonts w:ascii="Calibri" w:hAnsi="Calibri" w:cs="Times New Roman"/>
          <w:color w:val="auto"/>
        </w:rPr>
      </w:pPr>
      <w:r w:rsidRPr="00DC520A">
        <w:rPr>
          <w:rFonts w:ascii="Calibri" w:hAnsi="Calibri" w:cs="Times New Roman"/>
          <w:color w:val="auto"/>
        </w:rPr>
        <w:t>If yes, provide evidence the documented Transfer Capability assessment results were made available to that entity within 45 calendar days of receipt of the request.</w:t>
      </w:r>
    </w:p>
    <w:p w14:paraId="2C6B04C0" w14:textId="77777777" w:rsidR="00DC520A" w:rsidRPr="006C43BC" w:rsidRDefault="00DC520A" w:rsidP="00DC520A">
      <w:pPr>
        <w:rPr>
          <w:rFonts w:ascii="Calibri" w:hAnsi="Calibri" w:cs="Times New Roman"/>
        </w:rPr>
      </w:pPr>
    </w:p>
    <w:p w14:paraId="20A20CFF" w14:textId="77777777" w:rsidR="00307E53" w:rsidRPr="006C43BC" w:rsidRDefault="00307E53" w:rsidP="00307E53">
      <w:pPr>
        <w:autoSpaceDE/>
        <w:autoSpaceDN/>
        <w:adjustRightInd/>
        <w:rPr>
          <w:rFonts w:ascii="Calibri" w:hAnsi="Calibri" w:cs="Times New Roman"/>
        </w:rPr>
      </w:pPr>
      <w:r w:rsidRPr="006C43BC">
        <w:rPr>
          <w:rFonts w:ascii="Calibri" w:hAnsi="Calibri" w:cs="Times New Roman"/>
          <w:b/>
        </w:rPr>
        <w:t>Registered Entity Response</w:t>
      </w:r>
      <w:r w:rsidRPr="006C43BC">
        <w:rPr>
          <w:rFonts w:ascii="Calibri" w:hAnsi="Calibri" w:cs="Times New Roman"/>
        </w:rPr>
        <w:t xml:space="preserve">  </w:t>
      </w:r>
      <w:r w:rsidRPr="006C43BC">
        <w:rPr>
          <w:rFonts w:ascii="Calibri" w:hAnsi="Calibri" w:cs="Times New Roman"/>
          <w:b/>
          <w:bCs/>
          <w:color w:val="FF0000"/>
        </w:rPr>
        <w:t>(Required)</w:t>
      </w:r>
      <w:r w:rsidRPr="006C43BC">
        <w:rPr>
          <w:rFonts w:ascii="Calibri" w:hAnsi="Calibri" w:cs="Times New Roman"/>
          <w:b/>
          <w:bCs/>
        </w:rPr>
        <w:t>:</w:t>
      </w:r>
    </w:p>
    <w:p w14:paraId="03D964E9" w14:textId="77777777" w:rsidR="00307E53" w:rsidRPr="006C43BC" w:rsidRDefault="00307E53" w:rsidP="00C41854">
      <w:pPr>
        <w:widowControl w:val="0"/>
        <w:shd w:val="clear" w:color="auto" w:fill="D3DCE9"/>
        <w:jc w:val="both"/>
        <w:rPr>
          <w:rFonts w:ascii="Calibri" w:hAnsi="Calibri" w:cs="Times New Roman"/>
          <w:bCs/>
          <w:color w:val="0070C0"/>
        </w:rPr>
      </w:pPr>
    </w:p>
    <w:p w14:paraId="4601030E" w14:textId="77777777" w:rsidR="00307E53" w:rsidRPr="006C43BC" w:rsidRDefault="00307E53" w:rsidP="00C41854">
      <w:pPr>
        <w:widowControl w:val="0"/>
        <w:shd w:val="clear" w:color="auto" w:fill="D3DCE9"/>
        <w:jc w:val="both"/>
        <w:rPr>
          <w:rFonts w:ascii="Calibri" w:hAnsi="Calibri" w:cs="Times New Roman"/>
          <w:bCs/>
          <w:color w:val="0070C0"/>
        </w:rPr>
      </w:pPr>
    </w:p>
    <w:p w14:paraId="2FDF03B5" w14:textId="77777777" w:rsidR="00307E53" w:rsidRPr="006C43BC" w:rsidRDefault="00307E53" w:rsidP="00307E53">
      <w:pPr>
        <w:widowControl w:val="0"/>
        <w:tabs>
          <w:tab w:val="left" w:pos="0"/>
        </w:tabs>
        <w:rPr>
          <w:rFonts w:ascii="Calibri" w:hAnsi="Calibri" w:cs="Times New Roman"/>
          <w:b/>
          <w:bCs/>
        </w:rPr>
      </w:pPr>
    </w:p>
    <w:p w14:paraId="199E0582" w14:textId="77777777" w:rsidR="00307E53" w:rsidRPr="006C43BC" w:rsidRDefault="00307E53" w:rsidP="00307E53">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14:paraId="5E45FC07" w14:textId="77777777" w:rsidR="00307E53" w:rsidRPr="006C43BC" w:rsidRDefault="00307E53" w:rsidP="00307E53">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14:paraId="3DE29466" w14:textId="77777777" w:rsidR="00307E53" w:rsidRPr="006C43BC" w:rsidRDefault="00307E53" w:rsidP="00C41854">
      <w:pPr>
        <w:widowControl w:val="0"/>
        <w:shd w:val="clear" w:color="auto" w:fill="D3DCE9"/>
        <w:jc w:val="both"/>
        <w:rPr>
          <w:rFonts w:ascii="Calibri" w:hAnsi="Calibri" w:cs="Times New Roman"/>
          <w:bCs/>
          <w:color w:val="0070C0"/>
        </w:rPr>
      </w:pPr>
    </w:p>
    <w:p w14:paraId="3863F08F" w14:textId="77777777" w:rsidR="00307E53" w:rsidRPr="006C43BC" w:rsidRDefault="00307E53" w:rsidP="00C41854">
      <w:pPr>
        <w:widowControl w:val="0"/>
        <w:shd w:val="clear" w:color="auto" w:fill="D3DCE9"/>
        <w:jc w:val="both"/>
        <w:rPr>
          <w:rFonts w:ascii="Calibri" w:hAnsi="Calibri" w:cs="Times New Roman"/>
          <w:bCs/>
          <w:color w:val="0070C0"/>
        </w:rPr>
      </w:pPr>
    </w:p>
    <w:p w14:paraId="6D10802E" w14:textId="77777777" w:rsidR="00307E53" w:rsidRPr="006C43BC" w:rsidRDefault="00307E53" w:rsidP="00307E53">
      <w:pPr>
        <w:widowControl w:val="0"/>
        <w:spacing w:line="266" w:lineRule="exact"/>
        <w:rPr>
          <w:rFonts w:ascii="Calibri" w:hAnsi="Calibri" w:cs="Times New Roman"/>
          <w:b/>
          <w:bCs/>
        </w:rPr>
      </w:pPr>
    </w:p>
    <w:p w14:paraId="2D124392" w14:textId="77777777" w:rsidR="00307E53" w:rsidRPr="006C43BC" w:rsidRDefault="00307E53" w:rsidP="00307E53">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07E53" w:rsidRPr="006C43BC" w14:paraId="5C236DB8" w14:textId="77777777" w:rsidTr="00307E53">
        <w:tc>
          <w:tcPr>
            <w:tcW w:w="11016" w:type="dxa"/>
            <w:shd w:val="clear" w:color="auto" w:fill="DBE5F1"/>
          </w:tcPr>
          <w:p w14:paraId="30B71061" w14:textId="77777777" w:rsidR="00307E53" w:rsidRPr="00A14EFC" w:rsidRDefault="00307E53" w:rsidP="00307E53">
            <w:pPr>
              <w:widowControl w:val="0"/>
              <w:tabs>
                <w:tab w:val="left" w:pos="0"/>
              </w:tabs>
              <w:rPr>
                <w:rFonts w:ascii="Calibri" w:hAnsi="Calibri" w:cs="Times New Roman"/>
                <w:bCs/>
                <w:color w:val="auto"/>
              </w:rPr>
            </w:pPr>
            <w:r w:rsidRPr="00A14EFC">
              <w:rPr>
                <w:rFonts w:ascii="Calibri" w:hAnsi="Calibri" w:cs="Times New Roman"/>
                <w:bCs/>
                <w:color w:val="auto"/>
              </w:rPr>
              <w:t>Provide the following for all evidence submitted (</w:t>
            </w:r>
            <w:r w:rsidRPr="00A14EFC">
              <w:rPr>
                <w:rFonts w:ascii="Calibri" w:hAnsi="Calibri" w:cs="Times New Roman"/>
              </w:rPr>
              <w:t>Insert additional rows if necessary)</w:t>
            </w:r>
            <w:r w:rsidRPr="00A14EFC">
              <w:rPr>
                <w:rFonts w:ascii="Calibri" w:hAnsi="Calibri" w:cs="Times New Roman"/>
                <w:bCs/>
                <w:color w:val="auto"/>
              </w:rPr>
              <w:t>:</w:t>
            </w:r>
          </w:p>
          <w:p w14:paraId="79FC38FE" w14:textId="77777777" w:rsidR="00307E53" w:rsidRPr="00A14EFC" w:rsidRDefault="00307E53" w:rsidP="00307E53">
            <w:pPr>
              <w:widowControl w:val="0"/>
              <w:rPr>
                <w:rFonts w:ascii="Calibri" w:hAnsi="Calibri" w:cs="Times New Roman"/>
              </w:rPr>
            </w:pPr>
            <w:r w:rsidRPr="00A14EFC">
              <w:rPr>
                <w:rFonts w:ascii="Calibri" w:hAnsi="Calibri" w:cs="Times New Roman"/>
                <w:bCs/>
                <w:color w:val="auto"/>
              </w:rPr>
              <w:tab/>
              <w:t xml:space="preserve">File Name, File </w:t>
            </w:r>
            <w:r w:rsidR="008302E3">
              <w:rPr>
                <w:rFonts w:ascii="Calibri" w:hAnsi="Calibri" w:cs="Times New Roman"/>
                <w:bCs/>
                <w:color w:val="auto"/>
              </w:rPr>
              <w:t>Extension</w:t>
            </w:r>
            <w:r w:rsidRPr="00A14EFC">
              <w:rPr>
                <w:rFonts w:ascii="Calibri" w:hAnsi="Calibri" w:cs="Times New Roman"/>
                <w:bCs/>
                <w:color w:val="auto"/>
              </w:rPr>
              <w:t xml:space="preserve">, Document Title, Revision, Date, Page(s), Section(s), Section Title(s), </w:t>
            </w:r>
            <w:r w:rsidRPr="00A14EFC">
              <w:rPr>
                <w:rFonts w:ascii="Calibri" w:hAnsi="Calibri" w:cs="Times New Roman"/>
                <w:bCs/>
                <w:color w:val="auto"/>
              </w:rPr>
              <w:tab/>
              <w:t>Description</w:t>
            </w:r>
          </w:p>
        </w:tc>
      </w:tr>
      <w:tr w:rsidR="00307E53" w:rsidRPr="006C43BC" w14:paraId="4E0D7AE1" w14:textId="77777777" w:rsidTr="00307E53">
        <w:tc>
          <w:tcPr>
            <w:tcW w:w="11016" w:type="dxa"/>
          </w:tcPr>
          <w:p w14:paraId="56351903" w14:textId="77777777" w:rsidR="00307E53" w:rsidRPr="00A14EFC" w:rsidRDefault="00307E53" w:rsidP="00307E53">
            <w:pPr>
              <w:widowControl w:val="0"/>
              <w:jc w:val="both"/>
              <w:rPr>
                <w:rFonts w:ascii="Calibri" w:hAnsi="Calibri" w:cs="Times New Roman"/>
                <w:color w:val="0070C0"/>
              </w:rPr>
            </w:pPr>
          </w:p>
        </w:tc>
      </w:tr>
      <w:tr w:rsidR="00307E53" w:rsidRPr="006C43BC" w14:paraId="27CCE455" w14:textId="77777777" w:rsidTr="00307E53">
        <w:tc>
          <w:tcPr>
            <w:tcW w:w="11016" w:type="dxa"/>
          </w:tcPr>
          <w:p w14:paraId="762FEE10" w14:textId="77777777" w:rsidR="00307E53" w:rsidRPr="00A14EFC" w:rsidRDefault="00307E53" w:rsidP="00307E53">
            <w:pPr>
              <w:widowControl w:val="0"/>
              <w:jc w:val="both"/>
              <w:rPr>
                <w:rFonts w:ascii="Calibri" w:hAnsi="Calibri" w:cs="Times New Roman"/>
                <w:color w:val="0070C0"/>
              </w:rPr>
            </w:pPr>
          </w:p>
        </w:tc>
      </w:tr>
      <w:tr w:rsidR="00307E53" w:rsidRPr="006C43BC" w14:paraId="5FA5E99E" w14:textId="77777777" w:rsidTr="00307E53">
        <w:tc>
          <w:tcPr>
            <w:tcW w:w="11016" w:type="dxa"/>
          </w:tcPr>
          <w:p w14:paraId="7A6068EB" w14:textId="77777777" w:rsidR="00307E53" w:rsidRPr="00A14EFC" w:rsidRDefault="00307E53" w:rsidP="00307E53">
            <w:pPr>
              <w:widowControl w:val="0"/>
              <w:jc w:val="both"/>
              <w:rPr>
                <w:rFonts w:ascii="Calibri" w:hAnsi="Calibri" w:cs="Times New Roman"/>
                <w:color w:val="0070C0"/>
              </w:rPr>
            </w:pPr>
          </w:p>
        </w:tc>
      </w:tr>
    </w:tbl>
    <w:p w14:paraId="7B00421D" w14:textId="77777777" w:rsidR="00307E53" w:rsidRPr="006C43BC" w:rsidRDefault="00307E53" w:rsidP="00307E53">
      <w:pPr>
        <w:widowControl w:val="0"/>
        <w:rPr>
          <w:rFonts w:ascii="Calibri" w:hAnsi="Calibri" w:cs="Times New Roman"/>
        </w:rPr>
      </w:pPr>
    </w:p>
    <w:p w14:paraId="53F54C11" w14:textId="77777777" w:rsidR="00307E53" w:rsidRPr="006C43BC" w:rsidRDefault="00307E53" w:rsidP="00307E53">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307E53" w:rsidRPr="006C43BC" w14:paraId="7515FBBD" w14:textId="77777777" w:rsidTr="00307E53">
        <w:tc>
          <w:tcPr>
            <w:tcW w:w="11016" w:type="dxa"/>
            <w:shd w:val="clear" w:color="auto" w:fill="D9D9D9"/>
          </w:tcPr>
          <w:p w14:paraId="047419FF" w14:textId="77777777" w:rsidR="00307E53" w:rsidRPr="00A14EFC" w:rsidRDefault="00307E53" w:rsidP="00307E53">
            <w:pPr>
              <w:widowControl w:val="0"/>
              <w:rPr>
                <w:rFonts w:ascii="Calibri" w:hAnsi="Calibri" w:cs="Times New Roman"/>
              </w:rPr>
            </w:pPr>
          </w:p>
        </w:tc>
      </w:tr>
      <w:tr w:rsidR="00307E53" w:rsidRPr="006C43BC" w14:paraId="06B4A6A4" w14:textId="77777777" w:rsidTr="00307E53">
        <w:tc>
          <w:tcPr>
            <w:tcW w:w="11016" w:type="dxa"/>
            <w:shd w:val="clear" w:color="auto" w:fill="D9D9D9"/>
          </w:tcPr>
          <w:p w14:paraId="67677306" w14:textId="77777777" w:rsidR="00307E53" w:rsidRPr="00A14EFC" w:rsidRDefault="00307E53" w:rsidP="00307E53">
            <w:pPr>
              <w:widowControl w:val="0"/>
              <w:rPr>
                <w:rFonts w:ascii="Calibri" w:hAnsi="Calibri" w:cs="Times New Roman"/>
              </w:rPr>
            </w:pPr>
          </w:p>
        </w:tc>
      </w:tr>
      <w:tr w:rsidR="00307E53" w:rsidRPr="006C43BC" w14:paraId="7F0ECEA8" w14:textId="77777777" w:rsidTr="00307E53">
        <w:tc>
          <w:tcPr>
            <w:tcW w:w="11016" w:type="dxa"/>
            <w:shd w:val="clear" w:color="auto" w:fill="D9D9D9"/>
          </w:tcPr>
          <w:p w14:paraId="5B69A5E9" w14:textId="77777777" w:rsidR="00307E53" w:rsidRPr="00A14EFC" w:rsidRDefault="00307E53" w:rsidP="00307E53">
            <w:pPr>
              <w:widowControl w:val="0"/>
              <w:rPr>
                <w:rFonts w:ascii="Calibri" w:hAnsi="Calibri" w:cs="Times New Roman"/>
              </w:rPr>
            </w:pPr>
          </w:p>
        </w:tc>
      </w:tr>
    </w:tbl>
    <w:p w14:paraId="761AFC43" w14:textId="77777777" w:rsidR="00307E53" w:rsidRPr="006C43BC" w:rsidRDefault="00307E53" w:rsidP="00307E53">
      <w:pPr>
        <w:widowControl w:val="0"/>
        <w:rPr>
          <w:rFonts w:ascii="Calibri" w:hAnsi="Calibri" w:cs="Times New Roman"/>
        </w:rPr>
      </w:pPr>
    </w:p>
    <w:p w14:paraId="044C92A6" w14:textId="77777777" w:rsidR="00307E53" w:rsidRPr="00501FCB" w:rsidRDefault="00307E53" w:rsidP="00307E53">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07E53">
        <w:rPr>
          <w:rFonts w:ascii="Calibri" w:hAnsi="Calibri"/>
          <w:b/>
        </w:rPr>
        <w:t xml:space="preserve">Compliance Assessment Approach Specific to </w:t>
      </w:r>
      <w:r>
        <w:rPr>
          <w:rFonts w:ascii="Calibri" w:hAnsi="Calibri"/>
          <w:b/>
        </w:rPr>
        <w:t>FAC</w:t>
      </w:r>
      <w:r w:rsidRPr="00307E53">
        <w:rPr>
          <w:rFonts w:ascii="Calibri" w:hAnsi="Calibri"/>
          <w:b/>
        </w:rPr>
        <w:t>-0</w:t>
      </w:r>
      <w:r>
        <w:rPr>
          <w:rFonts w:ascii="Calibri" w:hAnsi="Calibri"/>
          <w:b/>
        </w:rPr>
        <w:t>13</w:t>
      </w:r>
      <w:r w:rsidRPr="00307E53">
        <w:rPr>
          <w:rFonts w:ascii="Calibri" w:hAnsi="Calibri"/>
          <w:b/>
        </w:rPr>
        <w:t>-</w:t>
      </w:r>
      <w:r>
        <w:rPr>
          <w:rFonts w:ascii="Calibri" w:hAnsi="Calibri"/>
          <w:b/>
        </w:rPr>
        <w:t>2</w:t>
      </w:r>
      <w:r w:rsidRPr="00307E53">
        <w:rPr>
          <w:rFonts w:ascii="Calibri" w:hAnsi="Calibri"/>
          <w:b/>
        </w:rPr>
        <w:t>, R</w:t>
      </w:r>
      <w:r>
        <w:rPr>
          <w:rFonts w:ascii="Calibri" w:hAnsi="Calibri"/>
          <w:b/>
        </w:rPr>
        <w:t>5</w:t>
      </w:r>
    </w:p>
    <w:p w14:paraId="08A2AAF9" w14:textId="77777777" w:rsidR="00307E53" w:rsidRPr="00BA39D3" w:rsidRDefault="00BA39D3" w:rsidP="00307E53">
      <w:pPr>
        <w:tabs>
          <w:tab w:val="left" w:pos="1080"/>
        </w:tabs>
        <w:rPr>
          <w:rFonts w:ascii="Calibri" w:hAnsi="Calibri"/>
          <w:b/>
          <w:color w:val="FF0000"/>
          <w:sz w:val="22"/>
        </w:rPr>
      </w:pPr>
      <w:r>
        <w:rPr>
          <w:rFonts w:ascii="Calibri" w:hAnsi="Calibri"/>
          <w:b/>
          <w:color w:val="FF0000"/>
          <w:sz w:val="22"/>
        </w:rPr>
        <w:t>(</w:t>
      </w:r>
      <w:r w:rsidR="00307E53" w:rsidRPr="00BA39D3">
        <w:rPr>
          <w:rFonts w:ascii="Calibri" w:hAnsi="Calibri"/>
          <w:b/>
          <w:color w:val="FF0000"/>
          <w:sz w:val="22"/>
        </w:rPr>
        <w:t>This section must be completed by the Compliance Enforcement Authority</w:t>
      </w:r>
      <w:r>
        <w:rPr>
          <w:rFonts w:ascii="Calibri" w:hAnsi="Calibri"/>
          <w:b/>
          <w:color w:val="FF0000"/>
          <w:sz w:val="22"/>
        </w:rPr>
        <w:t>)</w:t>
      </w:r>
    </w:p>
    <w:p w14:paraId="6385BC91" w14:textId="77777777" w:rsidR="00307E53" w:rsidRPr="006C43BC" w:rsidRDefault="00307E53" w:rsidP="00307E53">
      <w:pPr>
        <w:widowControl w:val="0"/>
        <w:tabs>
          <w:tab w:val="left" w:pos="0"/>
          <w:tab w:val="left" w:pos="900"/>
          <w:tab w:val="left" w:pos="6360"/>
        </w:tabs>
        <w:rPr>
          <w:rFonts w:ascii="Calibri" w:hAnsi="Calibri" w:cs="Times New Roman"/>
          <w:iCs/>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307E53" w:rsidRPr="006C43BC" w14:paraId="0626A7ED" w14:textId="77777777" w:rsidTr="00307E53">
        <w:tc>
          <w:tcPr>
            <w:tcW w:w="378" w:type="dxa"/>
          </w:tcPr>
          <w:p w14:paraId="1C9FE3AA" w14:textId="77777777" w:rsidR="00307E53" w:rsidRPr="00A14EFC" w:rsidRDefault="00307E53" w:rsidP="00307E53">
            <w:pPr>
              <w:widowControl w:val="0"/>
              <w:tabs>
                <w:tab w:val="left" w:pos="0"/>
                <w:tab w:val="left" w:pos="900"/>
                <w:tab w:val="left" w:pos="6360"/>
              </w:tabs>
              <w:rPr>
                <w:rFonts w:ascii="Calibri" w:hAnsi="Calibri" w:cs="Times New Roman"/>
                <w:bCs/>
              </w:rPr>
            </w:pPr>
          </w:p>
        </w:tc>
        <w:tc>
          <w:tcPr>
            <w:tcW w:w="10638" w:type="dxa"/>
          </w:tcPr>
          <w:p w14:paraId="3CEDB432" w14:textId="77777777" w:rsidR="00307E53" w:rsidRPr="00A14EFC" w:rsidRDefault="00307E53" w:rsidP="00307E53">
            <w:pPr>
              <w:widowControl w:val="0"/>
              <w:tabs>
                <w:tab w:val="left" w:pos="0"/>
                <w:tab w:val="left" w:pos="900"/>
                <w:tab w:val="left" w:pos="6360"/>
              </w:tabs>
              <w:rPr>
                <w:rFonts w:ascii="Calibri" w:hAnsi="Calibri" w:cs="Times New Roman"/>
                <w:color w:val="auto"/>
              </w:rPr>
            </w:pPr>
            <w:r w:rsidRPr="00A14EFC">
              <w:rPr>
                <w:rFonts w:ascii="Calibri" w:hAnsi="Calibri" w:cs="Times New Roman"/>
                <w:color w:val="auto"/>
              </w:rPr>
              <w:t>Responded to the applicability Question and provided evidence of compliance if the response was yes.</w:t>
            </w:r>
          </w:p>
        </w:tc>
      </w:tr>
      <w:tr w:rsidR="00307E53" w:rsidRPr="006C43BC" w14:paraId="44BEB947" w14:textId="77777777" w:rsidTr="00307E53">
        <w:tc>
          <w:tcPr>
            <w:tcW w:w="378" w:type="dxa"/>
          </w:tcPr>
          <w:p w14:paraId="1404E6B3" w14:textId="77777777" w:rsidR="00307E53" w:rsidRPr="00307E53" w:rsidRDefault="00307E53" w:rsidP="00307E53">
            <w:pPr>
              <w:widowControl w:val="0"/>
              <w:tabs>
                <w:tab w:val="left" w:pos="0"/>
                <w:tab w:val="left" w:pos="900"/>
                <w:tab w:val="left" w:pos="6360"/>
              </w:tabs>
              <w:rPr>
                <w:rFonts w:ascii="Calibri" w:hAnsi="Calibri" w:cs="Times New Roman"/>
                <w:color w:val="auto"/>
              </w:rPr>
            </w:pPr>
          </w:p>
        </w:tc>
        <w:tc>
          <w:tcPr>
            <w:tcW w:w="10638" w:type="dxa"/>
          </w:tcPr>
          <w:p w14:paraId="1B130BF7" w14:textId="77777777" w:rsidR="00307E53" w:rsidRPr="00307E53" w:rsidRDefault="00DC520A" w:rsidP="00307E53">
            <w:pPr>
              <w:widowControl w:val="0"/>
              <w:tabs>
                <w:tab w:val="left" w:pos="0"/>
                <w:tab w:val="left" w:pos="900"/>
                <w:tab w:val="left" w:pos="6360"/>
              </w:tabs>
              <w:rPr>
                <w:rFonts w:ascii="Calibri" w:hAnsi="Calibri" w:cs="Times New Roman"/>
                <w:color w:val="auto"/>
              </w:rPr>
            </w:pPr>
            <w:r w:rsidRPr="00DC520A">
              <w:rPr>
                <w:rFonts w:ascii="Calibri" w:hAnsi="Calibri" w:cs="Times New Roman"/>
                <w:color w:val="auto"/>
              </w:rPr>
              <w:t>Verify the entity made the documented Transfer Capability assessment results available within 45 calendar days of the completion of the assessment to the recipients of its Transfer Capability methodology pursuant to Requirement R2, Parts 2.1 and Part 2.2.</w:t>
            </w:r>
          </w:p>
        </w:tc>
      </w:tr>
      <w:tr w:rsidR="00307E53" w:rsidRPr="006C43BC" w14:paraId="5D280AF2" w14:textId="77777777" w:rsidTr="00307E53">
        <w:tc>
          <w:tcPr>
            <w:tcW w:w="378" w:type="dxa"/>
          </w:tcPr>
          <w:p w14:paraId="63D6BB9F" w14:textId="77777777" w:rsidR="00307E53" w:rsidRPr="00307E53" w:rsidRDefault="00307E53" w:rsidP="00307E53">
            <w:pPr>
              <w:widowControl w:val="0"/>
              <w:tabs>
                <w:tab w:val="left" w:pos="0"/>
                <w:tab w:val="left" w:pos="900"/>
                <w:tab w:val="left" w:pos="6360"/>
              </w:tabs>
              <w:rPr>
                <w:rFonts w:ascii="Calibri" w:hAnsi="Calibri" w:cs="Times New Roman"/>
                <w:color w:val="auto"/>
              </w:rPr>
            </w:pPr>
          </w:p>
        </w:tc>
        <w:tc>
          <w:tcPr>
            <w:tcW w:w="10638" w:type="dxa"/>
          </w:tcPr>
          <w:p w14:paraId="3FE8B301" w14:textId="77777777" w:rsidR="00307E53" w:rsidRPr="00A14EFC" w:rsidRDefault="00DC520A" w:rsidP="00307E53">
            <w:pPr>
              <w:widowControl w:val="0"/>
              <w:tabs>
                <w:tab w:val="left" w:pos="0"/>
                <w:tab w:val="left" w:pos="900"/>
                <w:tab w:val="left" w:pos="6360"/>
              </w:tabs>
              <w:rPr>
                <w:rFonts w:ascii="Calibri" w:hAnsi="Calibri" w:cs="Times New Roman"/>
                <w:color w:val="auto"/>
              </w:rPr>
            </w:pPr>
            <w:r w:rsidRPr="00DC520A">
              <w:rPr>
                <w:rFonts w:ascii="Calibri" w:hAnsi="Calibri" w:cs="Times New Roman"/>
                <w:color w:val="auto"/>
              </w:rPr>
              <w:t>Verify the entity made the documented Transfer Capability assessment results available within 45 calendar days of receipt of a written request for such an assessment after the completion of the assessment</w:t>
            </w:r>
            <w:r>
              <w:rPr>
                <w:rFonts w:ascii="Calibri" w:hAnsi="Calibri" w:cs="Times New Roman"/>
                <w:color w:val="auto"/>
              </w:rPr>
              <w:t>.</w:t>
            </w:r>
          </w:p>
        </w:tc>
      </w:tr>
      <w:tr w:rsidR="00307E53" w:rsidRPr="006C43BC" w14:paraId="7520473B" w14:textId="77777777" w:rsidTr="00307E53">
        <w:tc>
          <w:tcPr>
            <w:tcW w:w="11016" w:type="dxa"/>
            <w:gridSpan w:val="2"/>
            <w:shd w:val="clear" w:color="auto" w:fill="D9D9D9"/>
          </w:tcPr>
          <w:p w14:paraId="6438E118" w14:textId="77777777" w:rsidR="00307E53" w:rsidRPr="00A14EFC" w:rsidRDefault="00307E53" w:rsidP="00C41854">
            <w:pPr>
              <w:widowControl w:val="0"/>
              <w:tabs>
                <w:tab w:val="left" w:pos="0"/>
                <w:tab w:val="left" w:pos="801"/>
              </w:tabs>
              <w:rPr>
                <w:rFonts w:ascii="Calibri" w:hAnsi="Calibri" w:cs="Times New Roman"/>
                <w:bCs/>
                <w:color w:val="auto"/>
              </w:rPr>
            </w:pPr>
            <w:r w:rsidRPr="00A14EFC">
              <w:rPr>
                <w:rFonts w:ascii="Calibri" w:hAnsi="Calibri" w:cs="Times New Roman"/>
                <w:b/>
                <w:bCs/>
                <w:color w:val="auto"/>
              </w:rPr>
              <w:t>Note to Auditor:</w:t>
            </w:r>
            <w:r w:rsidRPr="00A14EFC">
              <w:rPr>
                <w:rFonts w:ascii="Calibri" w:hAnsi="Calibri" w:cs="Times New Roman"/>
                <w:bCs/>
                <w:color w:val="auto"/>
              </w:rPr>
              <w:t xml:space="preserve"> </w:t>
            </w:r>
          </w:p>
        </w:tc>
      </w:tr>
    </w:tbl>
    <w:p w14:paraId="7259A9C0" w14:textId="77777777" w:rsidR="00307E53" w:rsidRPr="006C43BC" w:rsidRDefault="00307E53" w:rsidP="00307E53">
      <w:pPr>
        <w:widowControl w:val="0"/>
        <w:tabs>
          <w:tab w:val="left" w:pos="0"/>
        </w:tabs>
        <w:rPr>
          <w:rFonts w:ascii="Calibri" w:hAnsi="Calibri" w:cs="Times New Roman"/>
          <w:b/>
          <w:bCs/>
        </w:rPr>
      </w:pPr>
    </w:p>
    <w:p w14:paraId="74D22CBF" w14:textId="77777777" w:rsidR="00307E53" w:rsidRPr="006C43BC" w:rsidRDefault="00307E53" w:rsidP="00307E53">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07E53" w:rsidRPr="006C43BC" w14:paraId="5F3737C6" w14:textId="77777777" w:rsidTr="00307E53">
        <w:tc>
          <w:tcPr>
            <w:tcW w:w="11016" w:type="dxa"/>
            <w:shd w:val="clear" w:color="auto" w:fill="D9D9D9"/>
          </w:tcPr>
          <w:p w14:paraId="3E0BA149" w14:textId="77777777" w:rsidR="00307E53" w:rsidRPr="00A14EFC" w:rsidRDefault="00307E53" w:rsidP="00307E53">
            <w:pPr>
              <w:widowControl w:val="0"/>
              <w:tabs>
                <w:tab w:val="left" w:pos="0"/>
              </w:tabs>
              <w:rPr>
                <w:rFonts w:ascii="Calibri" w:hAnsi="Calibri" w:cs="Times New Roman"/>
                <w:bCs/>
                <w:color w:val="auto"/>
              </w:rPr>
            </w:pPr>
          </w:p>
        </w:tc>
      </w:tr>
    </w:tbl>
    <w:p w14:paraId="646380FE" w14:textId="77777777" w:rsidR="00307E53" w:rsidRPr="00EA2B8A" w:rsidRDefault="00307E53" w:rsidP="00EA2B8A"/>
    <w:p w14:paraId="585876D9" w14:textId="77777777" w:rsidR="005C4C67" w:rsidRPr="005C4C67" w:rsidRDefault="005C4C67" w:rsidP="005C4C67"/>
    <w:p w14:paraId="54D45638" w14:textId="77777777" w:rsidR="00307E53" w:rsidRDefault="00307E53" w:rsidP="00307E53"/>
    <w:p w14:paraId="70FC980E" w14:textId="77777777" w:rsidR="00C41854" w:rsidRDefault="00C41854" w:rsidP="00307E53">
      <w:pPr>
        <w:pStyle w:val="Heading1"/>
        <w:rPr>
          <w:rFonts w:ascii="Calibri" w:hAnsi="Calibri"/>
          <w:b/>
          <w:color w:val="auto"/>
          <w:sz w:val="24"/>
          <w:szCs w:val="22"/>
          <w:u w:val="single"/>
        </w:rPr>
      </w:pPr>
    </w:p>
    <w:p w14:paraId="256238A4" w14:textId="77777777" w:rsidR="00C41854" w:rsidRDefault="00C41854" w:rsidP="00307E53">
      <w:pPr>
        <w:pStyle w:val="Heading1"/>
        <w:rPr>
          <w:rFonts w:ascii="Calibri" w:hAnsi="Calibri"/>
          <w:b/>
          <w:color w:val="auto"/>
          <w:sz w:val="24"/>
          <w:szCs w:val="22"/>
          <w:u w:val="single"/>
        </w:rPr>
      </w:pPr>
    </w:p>
    <w:p w14:paraId="4423A041" w14:textId="77777777" w:rsidR="00307E53" w:rsidRPr="00501FCB" w:rsidRDefault="00307E53" w:rsidP="00307E53">
      <w:pPr>
        <w:pStyle w:val="Heading1"/>
        <w:rPr>
          <w:rFonts w:ascii="Calibri" w:hAnsi="Calibri"/>
          <w:b/>
          <w:color w:val="auto"/>
          <w:sz w:val="24"/>
          <w:szCs w:val="22"/>
          <w:u w:val="single"/>
        </w:rPr>
      </w:pPr>
      <w:r w:rsidRPr="00501FCB">
        <w:rPr>
          <w:rFonts w:ascii="Calibri" w:hAnsi="Calibri"/>
          <w:b/>
          <w:color w:val="auto"/>
          <w:sz w:val="24"/>
          <w:szCs w:val="22"/>
          <w:u w:val="single"/>
        </w:rPr>
        <w:t>R</w:t>
      </w:r>
      <w:r w:rsidR="00BA39D3" w:rsidRPr="00501FCB">
        <w:rPr>
          <w:rFonts w:ascii="Calibri" w:hAnsi="Calibri"/>
          <w:b/>
          <w:color w:val="auto"/>
          <w:sz w:val="24"/>
          <w:szCs w:val="22"/>
          <w:u w:val="single"/>
        </w:rPr>
        <w:t>6</w:t>
      </w:r>
      <w:r w:rsidRPr="00501FCB">
        <w:rPr>
          <w:rFonts w:ascii="Calibri" w:hAnsi="Calibri"/>
          <w:b/>
          <w:color w:val="auto"/>
          <w:sz w:val="24"/>
          <w:szCs w:val="22"/>
          <w:u w:val="single"/>
        </w:rPr>
        <w:t xml:space="preserve"> Supporting Evidence and Documentation</w:t>
      </w:r>
    </w:p>
    <w:p w14:paraId="25C7ABB1" w14:textId="77777777" w:rsidR="00DC520A" w:rsidRPr="00A5384D" w:rsidRDefault="00DC520A" w:rsidP="00DC520A">
      <w:pPr>
        <w:spacing w:after="120"/>
        <w:ind w:left="936" w:hanging="576"/>
        <w:rPr>
          <w:rFonts w:ascii="Times New Roman" w:hAnsi="Times New Roman" w:cs="Times New Roman"/>
        </w:rPr>
      </w:pPr>
      <w:r w:rsidRPr="00A5384D">
        <w:rPr>
          <w:rFonts w:ascii="Times New Roman" w:hAnsi="Times New Roman" w:cs="Times New Roman"/>
          <w:b/>
          <w:bCs/>
        </w:rPr>
        <w:lastRenderedPageBreak/>
        <w:t>R6.</w:t>
      </w:r>
      <w:r w:rsidRPr="00A5384D">
        <w:rPr>
          <w:rFonts w:ascii="Times New Roman" w:hAnsi="Times New Roman" w:cs="Times New Roman"/>
          <w:b/>
          <w:bCs/>
        </w:rPr>
        <w:tab/>
      </w:r>
      <w:r w:rsidRPr="00A5384D">
        <w:rPr>
          <w:rFonts w:ascii="Times New Roman" w:hAnsi="Times New Roman" w:cs="Times New Roman"/>
        </w:rPr>
        <w:t>If a recipient of a documented Transfer Capability assessment requests data to support the assessment results, the Planning Coordinator shall provide such data to that entity within 45 calendar days of receipt of the request. The provision of such data shall be subject to the legal and regulatory obligations of the Planning Coordinator’s area regarding the disclosure of confidential and/or sensitive information.</w:t>
      </w:r>
    </w:p>
    <w:p w14:paraId="7812631D" w14:textId="77777777" w:rsidR="00307E53" w:rsidRPr="006C43BC" w:rsidRDefault="00307E53" w:rsidP="00307E53">
      <w:pPr>
        <w:rPr>
          <w:rFonts w:ascii="Calibri" w:hAnsi="Calibri" w:cs="Times New Roman"/>
          <w:b/>
        </w:rPr>
      </w:pPr>
    </w:p>
    <w:p w14:paraId="74714A1D" w14:textId="77777777" w:rsidR="00DC520A" w:rsidRPr="00DC520A" w:rsidRDefault="00307E53" w:rsidP="00DC520A">
      <w:pPr>
        <w:rPr>
          <w:rFonts w:ascii="Calibri" w:hAnsi="Calibri" w:cs="Times New Roman"/>
          <w:color w:val="auto"/>
        </w:rPr>
      </w:pPr>
      <w:r w:rsidRPr="006C43BC">
        <w:rPr>
          <w:rFonts w:ascii="Calibri" w:hAnsi="Calibri" w:cs="Times New Roman"/>
          <w:b/>
        </w:rPr>
        <w:t xml:space="preserve">Question: </w:t>
      </w:r>
      <w:r w:rsidR="00DC520A" w:rsidRPr="00DC520A">
        <w:rPr>
          <w:rFonts w:ascii="Calibri" w:hAnsi="Calibri" w:cs="Times New Roman"/>
          <w:color w:val="auto"/>
        </w:rPr>
        <w:t xml:space="preserve">Has a recipient of a documented Transfer Capability assessment requested data to support the assessment results? </w:t>
      </w:r>
    </w:p>
    <w:p w14:paraId="39354108" w14:textId="77777777" w:rsidR="00307E53" w:rsidRPr="00637520" w:rsidRDefault="00DC520A" w:rsidP="00DC520A">
      <w:pPr>
        <w:rPr>
          <w:rFonts w:ascii="Calibri" w:hAnsi="Calibri" w:cs="Times New Roman"/>
          <w:color w:val="auto"/>
        </w:rPr>
      </w:pPr>
      <w:r w:rsidRPr="00DC520A">
        <w:rPr>
          <w:rFonts w:ascii="Calibri" w:hAnsi="Calibri" w:cs="Times New Roman"/>
          <w:color w:val="auto"/>
        </w:rPr>
        <w:t>If yes, provide evidence that you provided such data to that entity within 45 calendar days of receipt of the request.</w:t>
      </w:r>
      <w:r w:rsidR="00307E53" w:rsidRPr="00637520">
        <w:rPr>
          <w:rFonts w:ascii="Calibri" w:hAnsi="Calibri" w:cs="Times New Roman"/>
          <w:color w:val="auto"/>
        </w:rPr>
        <w:t xml:space="preserve"> </w:t>
      </w:r>
    </w:p>
    <w:p w14:paraId="4B0CAB8B" w14:textId="77777777" w:rsidR="00307E53" w:rsidRPr="006C43BC" w:rsidRDefault="00307E53" w:rsidP="00307E53">
      <w:pPr>
        <w:autoSpaceDE/>
        <w:autoSpaceDN/>
        <w:adjustRightInd/>
        <w:rPr>
          <w:rFonts w:ascii="Calibri" w:hAnsi="Calibri" w:cs="Times New Roman"/>
        </w:rPr>
      </w:pPr>
    </w:p>
    <w:p w14:paraId="401DD2F4" w14:textId="77777777" w:rsidR="00307E53" w:rsidRPr="006C43BC" w:rsidRDefault="00307E53" w:rsidP="00307E53">
      <w:pPr>
        <w:autoSpaceDE/>
        <w:autoSpaceDN/>
        <w:adjustRightInd/>
        <w:rPr>
          <w:rFonts w:ascii="Calibri" w:hAnsi="Calibri" w:cs="Times New Roman"/>
        </w:rPr>
      </w:pPr>
      <w:r w:rsidRPr="006C43BC">
        <w:rPr>
          <w:rFonts w:ascii="Calibri" w:hAnsi="Calibri" w:cs="Times New Roman"/>
          <w:b/>
        </w:rPr>
        <w:t>Registered Entity Response</w:t>
      </w:r>
      <w:r w:rsidRPr="006C43BC">
        <w:rPr>
          <w:rFonts w:ascii="Calibri" w:hAnsi="Calibri" w:cs="Times New Roman"/>
        </w:rPr>
        <w:t xml:space="preserve">  </w:t>
      </w:r>
      <w:r w:rsidRPr="006C43BC">
        <w:rPr>
          <w:rFonts w:ascii="Calibri" w:hAnsi="Calibri" w:cs="Times New Roman"/>
          <w:b/>
          <w:bCs/>
          <w:color w:val="FF0000"/>
        </w:rPr>
        <w:t>(Required)</w:t>
      </w:r>
      <w:r w:rsidRPr="006C43BC">
        <w:rPr>
          <w:rFonts w:ascii="Calibri" w:hAnsi="Calibri" w:cs="Times New Roman"/>
          <w:b/>
          <w:bCs/>
        </w:rPr>
        <w:t>:</w:t>
      </w:r>
    </w:p>
    <w:p w14:paraId="5332C437" w14:textId="77777777" w:rsidR="00307E53" w:rsidRPr="006C43BC" w:rsidRDefault="00307E53" w:rsidP="00C41854">
      <w:pPr>
        <w:widowControl w:val="0"/>
        <w:shd w:val="clear" w:color="auto" w:fill="D3DCE9"/>
        <w:jc w:val="both"/>
        <w:rPr>
          <w:rFonts w:ascii="Calibri" w:hAnsi="Calibri" w:cs="Times New Roman"/>
          <w:bCs/>
          <w:color w:val="0070C0"/>
        </w:rPr>
      </w:pPr>
    </w:p>
    <w:p w14:paraId="5D9E4932" w14:textId="77777777" w:rsidR="00307E53" w:rsidRPr="006C43BC" w:rsidRDefault="00307E53" w:rsidP="00C41854">
      <w:pPr>
        <w:widowControl w:val="0"/>
        <w:shd w:val="clear" w:color="auto" w:fill="D3DCE9"/>
        <w:jc w:val="both"/>
        <w:rPr>
          <w:rFonts w:ascii="Calibri" w:hAnsi="Calibri" w:cs="Times New Roman"/>
          <w:bCs/>
          <w:color w:val="0070C0"/>
        </w:rPr>
      </w:pPr>
    </w:p>
    <w:p w14:paraId="1C6AED7D" w14:textId="77777777" w:rsidR="00307E53" w:rsidRPr="006C43BC" w:rsidRDefault="00307E53" w:rsidP="00307E53">
      <w:pPr>
        <w:widowControl w:val="0"/>
        <w:tabs>
          <w:tab w:val="left" w:pos="0"/>
        </w:tabs>
        <w:rPr>
          <w:rFonts w:ascii="Calibri" w:hAnsi="Calibri" w:cs="Times New Roman"/>
          <w:b/>
          <w:bCs/>
        </w:rPr>
      </w:pPr>
    </w:p>
    <w:p w14:paraId="4D25A495" w14:textId="77777777" w:rsidR="00307E53" w:rsidRPr="006C43BC" w:rsidRDefault="00307E53" w:rsidP="00307E53">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14:paraId="3827CF9B" w14:textId="77777777" w:rsidR="00307E53" w:rsidRPr="006C43BC" w:rsidRDefault="00307E53" w:rsidP="00307E53">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14:paraId="6A54413A" w14:textId="77777777" w:rsidR="00307E53" w:rsidRPr="006C43BC" w:rsidRDefault="00307E53" w:rsidP="00C41854">
      <w:pPr>
        <w:widowControl w:val="0"/>
        <w:shd w:val="clear" w:color="auto" w:fill="D3DCE9"/>
        <w:jc w:val="both"/>
        <w:rPr>
          <w:rFonts w:ascii="Calibri" w:hAnsi="Calibri" w:cs="Times New Roman"/>
          <w:bCs/>
          <w:color w:val="0070C0"/>
        </w:rPr>
      </w:pPr>
    </w:p>
    <w:p w14:paraId="3D5738B2" w14:textId="77777777" w:rsidR="00307E53" w:rsidRPr="006C43BC" w:rsidRDefault="00307E53" w:rsidP="00C41854">
      <w:pPr>
        <w:widowControl w:val="0"/>
        <w:shd w:val="clear" w:color="auto" w:fill="D3DCE9"/>
        <w:jc w:val="both"/>
        <w:rPr>
          <w:rFonts w:ascii="Calibri" w:hAnsi="Calibri" w:cs="Times New Roman"/>
          <w:bCs/>
          <w:color w:val="0070C0"/>
        </w:rPr>
      </w:pPr>
    </w:p>
    <w:p w14:paraId="5626CA59" w14:textId="77777777" w:rsidR="00307E53" w:rsidRPr="006C43BC" w:rsidRDefault="00307E53" w:rsidP="00307E53">
      <w:pPr>
        <w:widowControl w:val="0"/>
        <w:spacing w:line="266" w:lineRule="exact"/>
        <w:rPr>
          <w:rFonts w:ascii="Calibri" w:hAnsi="Calibri" w:cs="Times New Roman"/>
          <w:b/>
          <w:bCs/>
        </w:rPr>
      </w:pPr>
    </w:p>
    <w:p w14:paraId="292D8F53" w14:textId="77777777" w:rsidR="00307E53" w:rsidRPr="006C43BC" w:rsidRDefault="00307E53" w:rsidP="00307E53">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07E53" w:rsidRPr="006C43BC" w14:paraId="4B338EC1" w14:textId="77777777" w:rsidTr="00307E53">
        <w:tc>
          <w:tcPr>
            <w:tcW w:w="11016" w:type="dxa"/>
            <w:shd w:val="clear" w:color="auto" w:fill="DBE5F1"/>
          </w:tcPr>
          <w:p w14:paraId="53E03892" w14:textId="77777777" w:rsidR="00307E53" w:rsidRPr="00A14EFC" w:rsidRDefault="00307E53" w:rsidP="00307E53">
            <w:pPr>
              <w:widowControl w:val="0"/>
              <w:tabs>
                <w:tab w:val="left" w:pos="0"/>
              </w:tabs>
              <w:rPr>
                <w:rFonts w:ascii="Calibri" w:hAnsi="Calibri" w:cs="Times New Roman"/>
                <w:bCs/>
                <w:color w:val="auto"/>
              </w:rPr>
            </w:pPr>
            <w:r w:rsidRPr="00A14EFC">
              <w:rPr>
                <w:rFonts w:ascii="Calibri" w:hAnsi="Calibri" w:cs="Times New Roman"/>
                <w:bCs/>
                <w:color w:val="auto"/>
              </w:rPr>
              <w:t>Provide the following for all evidence submitted (</w:t>
            </w:r>
            <w:r w:rsidRPr="00A14EFC">
              <w:rPr>
                <w:rFonts w:ascii="Calibri" w:hAnsi="Calibri" w:cs="Times New Roman"/>
              </w:rPr>
              <w:t>Insert additional rows if necessary)</w:t>
            </w:r>
            <w:r w:rsidRPr="00A14EFC">
              <w:rPr>
                <w:rFonts w:ascii="Calibri" w:hAnsi="Calibri" w:cs="Times New Roman"/>
                <w:bCs/>
                <w:color w:val="auto"/>
              </w:rPr>
              <w:t>:</w:t>
            </w:r>
          </w:p>
          <w:p w14:paraId="5BE71593" w14:textId="77777777" w:rsidR="00307E53" w:rsidRPr="00A14EFC" w:rsidRDefault="00307E53" w:rsidP="00307E53">
            <w:pPr>
              <w:widowControl w:val="0"/>
              <w:rPr>
                <w:rFonts w:ascii="Calibri" w:hAnsi="Calibri" w:cs="Times New Roman"/>
              </w:rPr>
            </w:pPr>
            <w:r w:rsidRPr="00A14EFC">
              <w:rPr>
                <w:rFonts w:ascii="Calibri" w:hAnsi="Calibri" w:cs="Times New Roman"/>
                <w:bCs/>
                <w:color w:val="auto"/>
              </w:rPr>
              <w:tab/>
              <w:t xml:space="preserve">File Name, File </w:t>
            </w:r>
            <w:r w:rsidR="008302E3">
              <w:rPr>
                <w:rFonts w:ascii="Calibri" w:hAnsi="Calibri" w:cs="Times New Roman"/>
                <w:bCs/>
                <w:color w:val="auto"/>
              </w:rPr>
              <w:t>Extension</w:t>
            </w:r>
            <w:r w:rsidRPr="00A14EFC">
              <w:rPr>
                <w:rFonts w:ascii="Calibri" w:hAnsi="Calibri" w:cs="Times New Roman"/>
                <w:bCs/>
                <w:color w:val="auto"/>
              </w:rPr>
              <w:t xml:space="preserve">, Document Title, Revision, Date, Page(s), Section(s), Section Title(s), </w:t>
            </w:r>
            <w:r w:rsidRPr="00A14EFC">
              <w:rPr>
                <w:rFonts w:ascii="Calibri" w:hAnsi="Calibri" w:cs="Times New Roman"/>
                <w:bCs/>
                <w:color w:val="auto"/>
              </w:rPr>
              <w:tab/>
              <w:t>Description</w:t>
            </w:r>
          </w:p>
        </w:tc>
      </w:tr>
      <w:tr w:rsidR="00307E53" w:rsidRPr="006C43BC" w14:paraId="3A9EA94B" w14:textId="77777777" w:rsidTr="00307E53">
        <w:tc>
          <w:tcPr>
            <w:tcW w:w="11016" w:type="dxa"/>
          </w:tcPr>
          <w:p w14:paraId="13F8609A" w14:textId="77777777" w:rsidR="00307E53" w:rsidRPr="00A14EFC" w:rsidRDefault="00307E53" w:rsidP="00307E53">
            <w:pPr>
              <w:widowControl w:val="0"/>
              <w:jc w:val="both"/>
              <w:rPr>
                <w:rFonts w:ascii="Calibri" w:hAnsi="Calibri" w:cs="Times New Roman"/>
                <w:color w:val="0070C0"/>
              </w:rPr>
            </w:pPr>
          </w:p>
        </w:tc>
      </w:tr>
      <w:tr w:rsidR="00307E53" w:rsidRPr="006C43BC" w14:paraId="487513F0" w14:textId="77777777" w:rsidTr="00307E53">
        <w:tc>
          <w:tcPr>
            <w:tcW w:w="11016" w:type="dxa"/>
          </w:tcPr>
          <w:p w14:paraId="73D188AC" w14:textId="77777777" w:rsidR="00307E53" w:rsidRPr="00A14EFC" w:rsidRDefault="00307E53" w:rsidP="00307E53">
            <w:pPr>
              <w:widowControl w:val="0"/>
              <w:jc w:val="both"/>
              <w:rPr>
                <w:rFonts w:ascii="Calibri" w:hAnsi="Calibri" w:cs="Times New Roman"/>
                <w:color w:val="0070C0"/>
              </w:rPr>
            </w:pPr>
          </w:p>
        </w:tc>
      </w:tr>
      <w:tr w:rsidR="00307E53" w:rsidRPr="006C43BC" w14:paraId="3A7239D6" w14:textId="77777777" w:rsidTr="00307E53">
        <w:tc>
          <w:tcPr>
            <w:tcW w:w="11016" w:type="dxa"/>
          </w:tcPr>
          <w:p w14:paraId="4E8AB5EE" w14:textId="77777777" w:rsidR="00307E53" w:rsidRPr="00A14EFC" w:rsidRDefault="00307E53" w:rsidP="00307E53">
            <w:pPr>
              <w:widowControl w:val="0"/>
              <w:jc w:val="both"/>
              <w:rPr>
                <w:rFonts w:ascii="Calibri" w:hAnsi="Calibri" w:cs="Times New Roman"/>
                <w:color w:val="0070C0"/>
              </w:rPr>
            </w:pPr>
          </w:p>
        </w:tc>
      </w:tr>
    </w:tbl>
    <w:p w14:paraId="4B21A06E" w14:textId="77777777" w:rsidR="00307E53" w:rsidRPr="006C43BC" w:rsidRDefault="00307E53" w:rsidP="00307E53">
      <w:pPr>
        <w:widowControl w:val="0"/>
        <w:rPr>
          <w:rFonts w:ascii="Calibri" w:hAnsi="Calibri" w:cs="Times New Roman"/>
        </w:rPr>
      </w:pPr>
    </w:p>
    <w:p w14:paraId="6414860F" w14:textId="77777777" w:rsidR="00307E53" w:rsidRPr="006C43BC" w:rsidRDefault="00307E53" w:rsidP="00307E53">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307E53" w:rsidRPr="006C43BC" w14:paraId="6380261A" w14:textId="77777777" w:rsidTr="00307E53">
        <w:tc>
          <w:tcPr>
            <w:tcW w:w="11016" w:type="dxa"/>
            <w:shd w:val="clear" w:color="auto" w:fill="D9D9D9"/>
          </w:tcPr>
          <w:p w14:paraId="0267CF16" w14:textId="77777777" w:rsidR="00307E53" w:rsidRPr="00A14EFC" w:rsidRDefault="00307E53" w:rsidP="00307E53">
            <w:pPr>
              <w:widowControl w:val="0"/>
              <w:rPr>
                <w:rFonts w:ascii="Calibri" w:hAnsi="Calibri" w:cs="Times New Roman"/>
              </w:rPr>
            </w:pPr>
          </w:p>
        </w:tc>
      </w:tr>
      <w:tr w:rsidR="00307E53" w:rsidRPr="006C43BC" w14:paraId="06E49C24" w14:textId="77777777" w:rsidTr="00307E53">
        <w:tc>
          <w:tcPr>
            <w:tcW w:w="11016" w:type="dxa"/>
            <w:shd w:val="clear" w:color="auto" w:fill="D9D9D9"/>
          </w:tcPr>
          <w:p w14:paraId="4642AC9B" w14:textId="77777777" w:rsidR="00307E53" w:rsidRPr="00A14EFC" w:rsidRDefault="00307E53" w:rsidP="00307E53">
            <w:pPr>
              <w:widowControl w:val="0"/>
              <w:rPr>
                <w:rFonts w:ascii="Calibri" w:hAnsi="Calibri" w:cs="Times New Roman"/>
              </w:rPr>
            </w:pPr>
          </w:p>
        </w:tc>
      </w:tr>
      <w:tr w:rsidR="00307E53" w:rsidRPr="006C43BC" w14:paraId="3411F738" w14:textId="77777777" w:rsidTr="00307E53">
        <w:tc>
          <w:tcPr>
            <w:tcW w:w="11016" w:type="dxa"/>
            <w:shd w:val="clear" w:color="auto" w:fill="D9D9D9"/>
          </w:tcPr>
          <w:p w14:paraId="0B46BECA" w14:textId="77777777" w:rsidR="00307E53" w:rsidRPr="00A14EFC" w:rsidRDefault="00307E53" w:rsidP="00307E53">
            <w:pPr>
              <w:widowControl w:val="0"/>
              <w:rPr>
                <w:rFonts w:ascii="Calibri" w:hAnsi="Calibri" w:cs="Times New Roman"/>
              </w:rPr>
            </w:pPr>
          </w:p>
        </w:tc>
      </w:tr>
    </w:tbl>
    <w:p w14:paraId="3045DCC9" w14:textId="77777777" w:rsidR="00307E53" w:rsidRPr="006C43BC" w:rsidRDefault="00307E53" w:rsidP="00307E53">
      <w:pPr>
        <w:widowControl w:val="0"/>
        <w:rPr>
          <w:rFonts w:ascii="Calibri" w:hAnsi="Calibri" w:cs="Times New Roman"/>
        </w:rPr>
      </w:pPr>
    </w:p>
    <w:p w14:paraId="0333E2C4" w14:textId="77777777" w:rsidR="00307E53" w:rsidRPr="00501FCB" w:rsidRDefault="00307E53" w:rsidP="00307E53">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07E53">
        <w:rPr>
          <w:rFonts w:ascii="Calibri" w:hAnsi="Calibri"/>
          <w:b/>
        </w:rPr>
        <w:t xml:space="preserve">Compliance Assessment Approach Specific to </w:t>
      </w:r>
      <w:r>
        <w:rPr>
          <w:rFonts w:ascii="Calibri" w:hAnsi="Calibri"/>
          <w:b/>
        </w:rPr>
        <w:t>FAC</w:t>
      </w:r>
      <w:r w:rsidRPr="00307E53">
        <w:rPr>
          <w:rFonts w:ascii="Calibri" w:hAnsi="Calibri"/>
          <w:b/>
        </w:rPr>
        <w:t>-0</w:t>
      </w:r>
      <w:r>
        <w:rPr>
          <w:rFonts w:ascii="Calibri" w:hAnsi="Calibri"/>
          <w:b/>
        </w:rPr>
        <w:t>13</w:t>
      </w:r>
      <w:r w:rsidRPr="00307E53">
        <w:rPr>
          <w:rFonts w:ascii="Calibri" w:hAnsi="Calibri"/>
          <w:b/>
        </w:rPr>
        <w:t>-</w:t>
      </w:r>
      <w:r>
        <w:rPr>
          <w:rFonts w:ascii="Calibri" w:hAnsi="Calibri"/>
          <w:b/>
        </w:rPr>
        <w:t>2</w:t>
      </w:r>
      <w:r w:rsidRPr="00307E53">
        <w:rPr>
          <w:rFonts w:ascii="Calibri" w:hAnsi="Calibri"/>
          <w:b/>
        </w:rPr>
        <w:t>, R</w:t>
      </w:r>
      <w:r>
        <w:rPr>
          <w:rFonts w:ascii="Calibri" w:hAnsi="Calibri"/>
          <w:b/>
        </w:rPr>
        <w:t>6</w:t>
      </w:r>
    </w:p>
    <w:p w14:paraId="788F2136" w14:textId="77777777" w:rsidR="00307E53" w:rsidRPr="00BA39D3" w:rsidRDefault="00BA39D3" w:rsidP="00307E53">
      <w:pPr>
        <w:tabs>
          <w:tab w:val="left" w:pos="1080"/>
        </w:tabs>
        <w:rPr>
          <w:rFonts w:ascii="Calibri" w:hAnsi="Calibri"/>
          <w:b/>
          <w:color w:val="FF0000"/>
          <w:sz w:val="22"/>
        </w:rPr>
      </w:pPr>
      <w:r w:rsidRPr="00BA39D3">
        <w:rPr>
          <w:rFonts w:ascii="Calibri" w:hAnsi="Calibri"/>
          <w:b/>
          <w:color w:val="FF0000"/>
          <w:sz w:val="22"/>
        </w:rPr>
        <w:t>(</w:t>
      </w:r>
      <w:r w:rsidR="00307E53" w:rsidRPr="00BA39D3">
        <w:rPr>
          <w:rFonts w:ascii="Calibri" w:hAnsi="Calibri"/>
          <w:b/>
          <w:color w:val="FF0000"/>
          <w:sz w:val="22"/>
        </w:rPr>
        <w:t xml:space="preserve">This section must be completed by the </w:t>
      </w:r>
      <w:r w:rsidRPr="00BA39D3">
        <w:rPr>
          <w:rFonts w:ascii="Calibri" w:hAnsi="Calibri"/>
          <w:b/>
          <w:color w:val="FF0000"/>
          <w:sz w:val="22"/>
        </w:rPr>
        <w:t>Compliance Enforcement Authority)</w:t>
      </w:r>
    </w:p>
    <w:p w14:paraId="25FA14AD" w14:textId="77777777" w:rsidR="00307E53" w:rsidRPr="006C43BC" w:rsidRDefault="00307E53" w:rsidP="00307E53">
      <w:pPr>
        <w:widowControl w:val="0"/>
        <w:tabs>
          <w:tab w:val="left" w:pos="0"/>
          <w:tab w:val="left" w:pos="900"/>
          <w:tab w:val="left" w:pos="6360"/>
        </w:tabs>
        <w:rPr>
          <w:rFonts w:ascii="Calibri" w:hAnsi="Calibri" w:cs="Times New Roman"/>
          <w:iCs/>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307E53" w:rsidRPr="006C43BC" w14:paraId="2D420FBB" w14:textId="77777777" w:rsidTr="00307E53">
        <w:tc>
          <w:tcPr>
            <w:tcW w:w="378" w:type="dxa"/>
          </w:tcPr>
          <w:p w14:paraId="05F7E53A" w14:textId="77777777" w:rsidR="00307E53" w:rsidRPr="00A14EFC" w:rsidRDefault="00307E53" w:rsidP="00307E53">
            <w:pPr>
              <w:widowControl w:val="0"/>
              <w:tabs>
                <w:tab w:val="left" w:pos="0"/>
                <w:tab w:val="left" w:pos="900"/>
                <w:tab w:val="left" w:pos="6360"/>
              </w:tabs>
              <w:rPr>
                <w:rFonts w:ascii="Calibri" w:hAnsi="Calibri" w:cs="Times New Roman"/>
                <w:bCs/>
              </w:rPr>
            </w:pPr>
          </w:p>
        </w:tc>
        <w:tc>
          <w:tcPr>
            <w:tcW w:w="10638" w:type="dxa"/>
          </w:tcPr>
          <w:p w14:paraId="12219447" w14:textId="77777777" w:rsidR="00307E53" w:rsidRPr="00A14EFC" w:rsidRDefault="00307E53" w:rsidP="00307E53">
            <w:pPr>
              <w:widowControl w:val="0"/>
              <w:tabs>
                <w:tab w:val="left" w:pos="0"/>
                <w:tab w:val="left" w:pos="900"/>
                <w:tab w:val="left" w:pos="6360"/>
              </w:tabs>
              <w:rPr>
                <w:rFonts w:ascii="Calibri" w:hAnsi="Calibri" w:cs="Times New Roman"/>
                <w:color w:val="auto"/>
              </w:rPr>
            </w:pPr>
            <w:r w:rsidRPr="00A14EFC">
              <w:rPr>
                <w:rFonts w:ascii="Calibri" w:hAnsi="Calibri" w:cs="Times New Roman"/>
                <w:color w:val="auto"/>
              </w:rPr>
              <w:t>Responded to the applicability Question and provided evidence of compliance if the response was yes.</w:t>
            </w:r>
          </w:p>
        </w:tc>
      </w:tr>
      <w:tr w:rsidR="00307E53" w:rsidRPr="006C43BC" w14:paraId="17BC6CB9" w14:textId="77777777" w:rsidTr="00307E53">
        <w:tc>
          <w:tcPr>
            <w:tcW w:w="378" w:type="dxa"/>
          </w:tcPr>
          <w:p w14:paraId="5A624BA7" w14:textId="77777777" w:rsidR="00307E53" w:rsidRPr="00307E53" w:rsidRDefault="00307E53" w:rsidP="00307E53">
            <w:pPr>
              <w:widowControl w:val="0"/>
              <w:tabs>
                <w:tab w:val="left" w:pos="0"/>
                <w:tab w:val="left" w:pos="900"/>
                <w:tab w:val="left" w:pos="6360"/>
              </w:tabs>
              <w:rPr>
                <w:rFonts w:ascii="Calibri" w:hAnsi="Calibri" w:cs="Times New Roman"/>
                <w:color w:val="auto"/>
              </w:rPr>
            </w:pPr>
          </w:p>
        </w:tc>
        <w:tc>
          <w:tcPr>
            <w:tcW w:w="10638" w:type="dxa"/>
          </w:tcPr>
          <w:p w14:paraId="07FD33E4" w14:textId="77777777" w:rsidR="00307E53" w:rsidRPr="00307E53" w:rsidRDefault="00DC520A" w:rsidP="00307E53">
            <w:pPr>
              <w:widowControl w:val="0"/>
              <w:tabs>
                <w:tab w:val="left" w:pos="0"/>
                <w:tab w:val="left" w:pos="900"/>
                <w:tab w:val="left" w:pos="6360"/>
              </w:tabs>
              <w:rPr>
                <w:rFonts w:ascii="Calibri" w:hAnsi="Calibri" w:cs="Times New Roman"/>
                <w:color w:val="auto"/>
              </w:rPr>
            </w:pPr>
            <w:r w:rsidRPr="00DC520A">
              <w:rPr>
                <w:rFonts w:ascii="Calibri" w:hAnsi="Calibri" w:cs="Times New Roman"/>
                <w:color w:val="auto"/>
              </w:rPr>
              <w:t>Determine if a recipient of a documented Transfer Capability assessment requested data to support the assessment results. If so:</w:t>
            </w:r>
          </w:p>
        </w:tc>
      </w:tr>
      <w:tr w:rsidR="00307E53" w:rsidRPr="006C43BC" w14:paraId="69CD2A32" w14:textId="77777777" w:rsidTr="00307E53">
        <w:tc>
          <w:tcPr>
            <w:tcW w:w="378" w:type="dxa"/>
          </w:tcPr>
          <w:p w14:paraId="32A3C635" w14:textId="77777777" w:rsidR="00307E53" w:rsidRPr="00307E53" w:rsidRDefault="00307E53" w:rsidP="00307E53">
            <w:pPr>
              <w:widowControl w:val="0"/>
              <w:tabs>
                <w:tab w:val="left" w:pos="0"/>
                <w:tab w:val="left" w:pos="900"/>
                <w:tab w:val="left" w:pos="6360"/>
              </w:tabs>
              <w:rPr>
                <w:rFonts w:ascii="Calibri" w:hAnsi="Calibri" w:cs="Times New Roman"/>
                <w:color w:val="auto"/>
              </w:rPr>
            </w:pPr>
          </w:p>
        </w:tc>
        <w:tc>
          <w:tcPr>
            <w:tcW w:w="10638" w:type="dxa"/>
          </w:tcPr>
          <w:p w14:paraId="4FF7A04B" w14:textId="77777777" w:rsidR="00307E53" w:rsidRPr="00A14EFC" w:rsidRDefault="00DC520A" w:rsidP="00307E53">
            <w:pPr>
              <w:widowControl w:val="0"/>
              <w:tabs>
                <w:tab w:val="left" w:pos="0"/>
                <w:tab w:val="left" w:pos="900"/>
                <w:tab w:val="left" w:pos="6360"/>
              </w:tabs>
              <w:rPr>
                <w:rFonts w:ascii="Calibri" w:hAnsi="Calibri" w:cs="Times New Roman"/>
                <w:color w:val="auto"/>
              </w:rPr>
            </w:pPr>
            <w:r w:rsidRPr="00DC520A">
              <w:rPr>
                <w:rFonts w:ascii="Calibri" w:hAnsi="Calibri" w:cs="Times New Roman"/>
                <w:color w:val="auto"/>
              </w:rPr>
              <w:t>Verify the entity provided such data to that entity within 45 calendar days of receipt of the request.</w:t>
            </w:r>
          </w:p>
        </w:tc>
      </w:tr>
      <w:tr w:rsidR="00307E53" w:rsidRPr="006C43BC" w14:paraId="59BAE5F4" w14:textId="77777777" w:rsidTr="00307E53">
        <w:tc>
          <w:tcPr>
            <w:tcW w:w="11016" w:type="dxa"/>
            <w:gridSpan w:val="2"/>
            <w:shd w:val="clear" w:color="auto" w:fill="D9D9D9"/>
          </w:tcPr>
          <w:p w14:paraId="7ED8AEE8" w14:textId="77777777" w:rsidR="00307E53" w:rsidRPr="00A14EFC" w:rsidRDefault="00307E53" w:rsidP="00C41854">
            <w:pPr>
              <w:widowControl w:val="0"/>
              <w:tabs>
                <w:tab w:val="left" w:pos="0"/>
                <w:tab w:val="left" w:pos="801"/>
              </w:tabs>
              <w:rPr>
                <w:rFonts w:ascii="Calibri" w:hAnsi="Calibri" w:cs="Times New Roman"/>
                <w:bCs/>
                <w:color w:val="auto"/>
              </w:rPr>
            </w:pPr>
            <w:r w:rsidRPr="00A14EFC">
              <w:rPr>
                <w:rFonts w:ascii="Calibri" w:hAnsi="Calibri" w:cs="Times New Roman"/>
                <w:b/>
                <w:bCs/>
                <w:color w:val="auto"/>
              </w:rPr>
              <w:t>Note to Auditor:</w:t>
            </w:r>
          </w:p>
        </w:tc>
      </w:tr>
    </w:tbl>
    <w:p w14:paraId="72149C3A" w14:textId="77777777" w:rsidR="00307E53" w:rsidRPr="006C43BC" w:rsidRDefault="00307E53" w:rsidP="00307E53">
      <w:pPr>
        <w:widowControl w:val="0"/>
        <w:tabs>
          <w:tab w:val="left" w:pos="0"/>
        </w:tabs>
        <w:rPr>
          <w:rFonts w:ascii="Calibri" w:hAnsi="Calibri" w:cs="Times New Roman"/>
          <w:b/>
          <w:bCs/>
        </w:rPr>
      </w:pPr>
    </w:p>
    <w:p w14:paraId="1BBA4E11" w14:textId="77777777" w:rsidR="00307E53" w:rsidRPr="006C43BC" w:rsidRDefault="00307E53" w:rsidP="00307E53">
      <w:pPr>
        <w:widowControl w:val="0"/>
        <w:tabs>
          <w:tab w:val="left" w:pos="0"/>
        </w:tabs>
        <w:rPr>
          <w:rFonts w:ascii="Calibri" w:hAnsi="Calibri" w:cs="Times New Roman"/>
          <w:b/>
          <w:bCs/>
          <w:color w:val="264D74"/>
        </w:rPr>
      </w:pPr>
      <w:r w:rsidRPr="006C43BC">
        <w:rPr>
          <w:rFonts w:ascii="Calibri" w:hAnsi="Calibri" w:cs="Times New Roman"/>
          <w:b/>
          <w:bCs/>
        </w:rPr>
        <w:lastRenderedPageBreak/>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07E53" w:rsidRPr="006C43BC" w14:paraId="35687F08" w14:textId="77777777" w:rsidTr="00307E53">
        <w:tc>
          <w:tcPr>
            <w:tcW w:w="11016" w:type="dxa"/>
            <w:shd w:val="clear" w:color="auto" w:fill="D9D9D9"/>
          </w:tcPr>
          <w:p w14:paraId="5551925B" w14:textId="77777777" w:rsidR="00307E53" w:rsidRPr="00A14EFC" w:rsidRDefault="00307E53" w:rsidP="00307E53">
            <w:pPr>
              <w:widowControl w:val="0"/>
              <w:tabs>
                <w:tab w:val="left" w:pos="0"/>
              </w:tabs>
              <w:rPr>
                <w:rFonts w:ascii="Calibri" w:hAnsi="Calibri" w:cs="Times New Roman"/>
                <w:bCs/>
                <w:color w:val="auto"/>
              </w:rPr>
            </w:pPr>
          </w:p>
        </w:tc>
      </w:tr>
    </w:tbl>
    <w:p w14:paraId="04DE24CF" w14:textId="77777777" w:rsidR="00307E53" w:rsidRPr="00EA2B8A" w:rsidRDefault="00307E53" w:rsidP="00EA2B8A"/>
    <w:p w14:paraId="5936D6F0" w14:textId="77777777" w:rsidR="00307E53" w:rsidRDefault="00307E53" w:rsidP="00307E53"/>
    <w:p w14:paraId="27E0A8CE" w14:textId="77777777" w:rsidR="00DC520A" w:rsidRPr="00307E53" w:rsidRDefault="00DC520A" w:rsidP="00307E53"/>
    <w:p w14:paraId="70B8A4B9" w14:textId="77777777" w:rsidR="00FD4903" w:rsidRPr="00501FCB" w:rsidRDefault="00FD4903" w:rsidP="00FD4903">
      <w:pPr>
        <w:pStyle w:val="Heading1"/>
        <w:rPr>
          <w:rFonts w:ascii="Calibri" w:hAnsi="Calibri"/>
          <w:b/>
          <w:color w:val="auto"/>
          <w:sz w:val="24"/>
          <w:szCs w:val="22"/>
          <w:u w:val="single"/>
        </w:rPr>
      </w:pPr>
      <w:r w:rsidRPr="00501FCB">
        <w:rPr>
          <w:rFonts w:ascii="Calibri" w:hAnsi="Calibri"/>
          <w:b/>
          <w:color w:val="auto"/>
          <w:sz w:val="24"/>
          <w:szCs w:val="22"/>
          <w:u w:val="single"/>
        </w:rPr>
        <w:t>Compliance Finding Summary</w:t>
      </w:r>
    </w:p>
    <w:p w14:paraId="76944EC1" w14:textId="77777777" w:rsidR="00A07D34" w:rsidRPr="006C43BC" w:rsidRDefault="00A07D34" w:rsidP="00A07D34">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
        <w:gridCol w:w="698"/>
        <w:gridCol w:w="602"/>
        <w:gridCol w:w="641"/>
        <w:gridCol w:w="589"/>
        <w:gridCol w:w="7477"/>
      </w:tblGrid>
      <w:tr w:rsidR="006F6D5A" w:rsidRPr="006C43BC" w14:paraId="681319C5" w14:textId="77777777" w:rsidTr="00EA2B8A">
        <w:tc>
          <w:tcPr>
            <w:tcW w:w="783" w:type="dxa"/>
            <w:shd w:val="clear" w:color="auto" w:fill="D9D9D9"/>
            <w:hideMark/>
          </w:tcPr>
          <w:p w14:paraId="329E4491" w14:textId="77777777"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Req.</w:t>
            </w:r>
          </w:p>
        </w:tc>
        <w:tc>
          <w:tcPr>
            <w:tcW w:w="698" w:type="dxa"/>
            <w:shd w:val="clear" w:color="auto" w:fill="D9D9D9"/>
            <w:hideMark/>
          </w:tcPr>
          <w:p w14:paraId="7CB92B4A" w14:textId="77777777"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NF</w:t>
            </w:r>
          </w:p>
        </w:tc>
        <w:tc>
          <w:tcPr>
            <w:tcW w:w="602" w:type="dxa"/>
            <w:shd w:val="clear" w:color="auto" w:fill="D9D9D9"/>
            <w:hideMark/>
          </w:tcPr>
          <w:p w14:paraId="66BEB40F" w14:textId="77777777"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PV</w:t>
            </w:r>
          </w:p>
        </w:tc>
        <w:tc>
          <w:tcPr>
            <w:tcW w:w="641" w:type="dxa"/>
            <w:shd w:val="clear" w:color="auto" w:fill="D9D9D9"/>
            <w:hideMark/>
          </w:tcPr>
          <w:p w14:paraId="3D0E9F28" w14:textId="77777777"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OEA</w:t>
            </w:r>
          </w:p>
        </w:tc>
        <w:tc>
          <w:tcPr>
            <w:tcW w:w="589" w:type="dxa"/>
            <w:shd w:val="clear" w:color="auto" w:fill="D9D9D9"/>
            <w:hideMark/>
          </w:tcPr>
          <w:p w14:paraId="74FC9719" w14:textId="77777777"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NA</w:t>
            </w:r>
          </w:p>
        </w:tc>
        <w:tc>
          <w:tcPr>
            <w:tcW w:w="7477" w:type="dxa"/>
            <w:shd w:val="clear" w:color="auto" w:fill="D9D9D9"/>
            <w:hideMark/>
          </w:tcPr>
          <w:p w14:paraId="193D848F" w14:textId="77777777"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Statement</w:t>
            </w:r>
          </w:p>
        </w:tc>
      </w:tr>
      <w:tr w:rsidR="006F6D5A" w:rsidRPr="006C43BC" w14:paraId="742ABFE2" w14:textId="77777777" w:rsidTr="00EA2B8A">
        <w:tc>
          <w:tcPr>
            <w:tcW w:w="783" w:type="dxa"/>
            <w:shd w:val="clear" w:color="auto" w:fill="D9D9D9"/>
            <w:hideMark/>
          </w:tcPr>
          <w:p w14:paraId="3FD080C5" w14:textId="77777777"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1</w:t>
            </w:r>
          </w:p>
        </w:tc>
        <w:tc>
          <w:tcPr>
            <w:tcW w:w="698" w:type="dxa"/>
            <w:shd w:val="clear" w:color="auto" w:fill="D9D9D9"/>
          </w:tcPr>
          <w:p w14:paraId="3CE8D61D"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602" w:type="dxa"/>
            <w:shd w:val="clear" w:color="auto" w:fill="D9D9D9"/>
          </w:tcPr>
          <w:p w14:paraId="4B6AFA7D"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14:paraId="62187316"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589" w:type="dxa"/>
            <w:shd w:val="clear" w:color="auto" w:fill="D9D9D9"/>
          </w:tcPr>
          <w:p w14:paraId="5F03FF7D"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7477" w:type="dxa"/>
            <w:shd w:val="clear" w:color="auto" w:fill="D9D9D9"/>
          </w:tcPr>
          <w:p w14:paraId="376D38D9" w14:textId="77777777" w:rsidR="006F6D5A" w:rsidRPr="006C43BC" w:rsidRDefault="006F6D5A" w:rsidP="006C43BC">
            <w:pPr>
              <w:widowControl w:val="0"/>
              <w:tabs>
                <w:tab w:val="left" w:pos="900"/>
                <w:tab w:val="left" w:pos="6360"/>
              </w:tabs>
              <w:rPr>
                <w:rFonts w:ascii="Calibri" w:hAnsi="Calibri" w:cs="Times New Roman"/>
                <w:bCs/>
                <w:color w:val="auto"/>
              </w:rPr>
            </w:pPr>
          </w:p>
        </w:tc>
      </w:tr>
      <w:tr w:rsidR="006F6D5A" w:rsidRPr="006C43BC" w14:paraId="4ABE95F7" w14:textId="77777777" w:rsidTr="00EA2B8A">
        <w:tc>
          <w:tcPr>
            <w:tcW w:w="783" w:type="dxa"/>
            <w:shd w:val="clear" w:color="auto" w:fill="D9D9D9"/>
            <w:hideMark/>
          </w:tcPr>
          <w:p w14:paraId="27104640" w14:textId="77777777"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2</w:t>
            </w:r>
          </w:p>
        </w:tc>
        <w:tc>
          <w:tcPr>
            <w:tcW w:w="698" w:type="dxa"/>
            <w:shd w:val="clear" w:color="auto" w:fill="D9D9D9"/>
          </w:tcPr>
          <w:p w14:paraId="3663D68C"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602" w:type="dxa"/>
            <w:shd w:val="clear" w:color="auto" w:fill="D9D9D9"/>
          </w:tcPr>
          <w:p w14:paraId="2F2A95C6"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14:paraId="0FC08966"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589" w:type="dxa"/>
            <w:shd w:val="clear" w:color="auto" w:fill="D9D9D9"/>
          </w:tcPr>
          <w:p w14:paraId="6863D7EF"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7477" w:type="dxa"/>
            <w:shd w:val="clear" w:color="auto" w:fill="D9D9D9"/>
          </w:tcPr>
          <w:p w14:paraId="595FC969" w14:textId="77777777" w:rsidR="006F6D5A" w:rsidRPr="006C43BC" w:rsidRDefault="006F6D5A" w:rsidP="006C43BC">
            <w:pPr>
              <w:widowControl w:val="0"/>
              <w:tabs>
                <w:tab w:val="left" w:pos="900"/>
                <w:tab w:val="left" w:pos="6360"/>
              </w:tabs>
              <w:rPr>
                <w:rFonts w:ascii="Calibri" w:hAnsi="Calibri" w:cs="Times New Roman"/>
                <w:bCs/>
                <w:color w:val="auto"/>
              </w:rPr>
            </w:pPr>
          </w:p>
        </w:tc>
      </w:tr>
      <w:tr w:rsidR="00EA2B8A" w:rsidRPr="006C43BC" w14:paraId="65B624EF" w14:textId="77777777" w:rsidTr="006E07E0">
        <w:tc>
          <w:tcPr>
            <w:tcW w:w="783" w:type="dxa"/>
            <w:shd w:val="clear" w:color="auto" w:fill="D9D9D9"/>
            <w:hideMark/>
          </w:tcPr>
          <w:p w14:paraId="0C8BEFE3" w14:textId="77777777" w:rsidR="00EA2B8A" w:rsidRPr="006C43BC" w:rsidRDefault="00EA2B8A" w:rsidP="00A528DB">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3</w:t>
            </w:r>
          </w:p>
        </w:tc>
        <w:tc>
          <w:tcPr>
            <w:tcW w:w="10007" w:type="dxa"/>
            <w:gridSpan w:val="5"/>
            <w:shd w:val="clear" w:color="auto" w:fill="D9D9D9"/>
          </w:tcPr>
          <w:p w14:paraId="6F7E920E" w14:textId="77777777" w:rsidR="00EA2B8A" w:rsidRPr="00EA2B8A" w:rsidRDefault="00EA2B8A" w:rsidP="00A528DB">
            <w:pPr>
              <w:widowControl w:val="0"/>
              <w:tabs>
                <w:tab w:val="left" w:pos="900"/>
                <w:tab w:val="left" w:pos="6360"/>
              </w:tabs>
              <w:rPr>
                <w:rFonts w:ascii="Calibri" w:hAnsi="Calibri" w:cs="Times New Roman"/>
                <w:b/>
                <w:bCs/>
                <w:color w:val="FF0000"/>
              </w:rPr>
            </w:pPr>
            <w:r w:rsidRPr="00EA2B8A">
              <w:rPr>
                <w:rFonts w:ascii="Calibri" w:hAnsi="Calibri" w:cs="Times New Roman"/>
                <w:b/>
                <w:bCs/>
                <w:color w:val="FF0000"/>
              </w:rPr>
              <w:t>(Retirement approved by FERC effective January 21, 2014.)</w:t>
            </w:r>
          </w:p>
        </w:tc>
      </w:tr>
      <w:tr w:rsidR="00840537" w:rsidRPr="006C43BC" w14:paraId="543284F0" w14:textId="77777777" w:rsidTr="00EA2B8A">
        <w:tc>
          <w:tcPr>
            <w:tcW w:w="783" w:type="dxa"/>
            <w:shd w:val="clear" w:color="auto" w:fill="D9D9D9"/>
            <w:hideMark/>
          </w:tcPr>
          <w:p w14:paraId="17B3DCCA" w14:textId="77777777" w:rsidR="00840537" w:rsidRPr="006C43BC" w:rsidRDefault="00840537" w:rsidP="00A528DB">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4</w:t>
            </w:r>
          </w:p>
        </w:tc>
        <w:tc>
          <w:tcPr>
            <w:tcW w:w="698" w:type="dxa"/>
            <w:shd w:val="clear" w:color="auto" w:fill="D9D9D9"/>
          </w:tcPr>
          <w:p w14:paraId="6A29DD70" w14:textId="77777777" w:rsidR="00840537" w:rsidRPr="006C43BC" w:rsidRDefault="00840537" w:rsidP="00A528DB">
            <w:pPr>
              <w:widowControl w:val="0"/>
              <w:tabs>
                <w:tab w:val="left" w:pos="900"/>
                <w:tab w:val="left" w:pos="6360"/>
              </w:tabs>
              <w:rPr>
                <w:rFonts w:ascii="Calibri" w:hAnsi="Calibri" w:cs="Times New Roman"/>
                <w:bCs/>
                <w:color w:val="auto"/>
              </w:rPr>
            </w:pPr>
          </w:p>
        </w:tc>
        <w:tc>
          <w:tcPr>
            <w:tcW w:w="602" w:type="dxa"/>
            <w:shd w:val="clear" w:color="auto" w:fill="D9D9D9"/>
          </w:tcPr>
          <w:p w14:paraId="63210A65" w14:textId="77777777" w:rsidR="00840537" w:rsidRPr="006C43BC" w:rsidRDefault="00840537" w:rsidP="00A528DB">
            <w:pPr>
              <w:widowControl w:val="0"/>
              <w:tabs>
                <w:tab w:val="left" w:pos="900"/>
                <w:tab w:val="left" w:pos="6360"/>
              </w:tabs>
              <w:rPr>
                <w:rFonts w:ascii="Calibri" w:hAnsi="Calibri" w:cs="Times New Roman"/>
                <w:bCs/>
                <w:color w:val="auto"/>
              </w:rPr>
            </w:pPr>
          </w:p>
        </w:tc>
        <w:tc>
          <w:tcPr>
            <w:tcW w:w="641" w:type="dxa"/>
            <w:shd w:val="clear" w:color="auto" w:fill="D9D9D9"/>
          </w:tcPr>
          <w:p w14:paraId="0598B670" w14:textId="77777777" w:rsidR="00840537" w:rsidRPr="006C43BC" w:rsidRDefault="00840537" w:rsidP="00A528DB">
            <w:pPr>
              <w:widowControl w:val="0"/>
              <w:tabs>
                <w:tab w:val="left" w:pos="900"/>
                <w:tab w:val="left" w:pos="6360"/>
              </w:tabs>
              <w:rPr>
                <w:rFonts w:ascii="Calibri" w:hAnsi="Calibri" w:cs="Times New Roman"/>
                <w:bCs/>
                <w:color w:val="auto"/>
              </w:rPr>
            </w:pPr>
          </w:p>
        </w:tc>
        <w:tc>
          <w:tcPr>
            <w:tcW w:w="589" w:type="dxa"/>
            <w:shd w:val="clear" w:color="auto" w:fill="D9D9D9"/>
          </w:tcPr>
          <w:p w14:paraId="4E9B8FD3" w14:textId="77777777" w:rsidR="00840537" w:rsidRPr="006C43BC" w:rsidRDefault="00840537" w:rsidP="00A528DB">
            <w:pPr>
              <w:widowControl w:val="0"/>
              <w:tabs>
                <w:tab w:val="left" w:pos="900"/>
                <w:tab w:val="left" w:pos="6360"/>
              </w:tabs>
              <w:rPr>
                <w:rFonts w:ascii="Calibri" w:hAnsi="Calibri" w:cs="Times New Roman"/>
                <w:bCs/>
                <w:color w:val="auto"/>
              </w:rPr>
            </w:pPr>
          </w:p>
        </w:tc>
        <w:tc>
          <w:tcPr>
            <w:tcW w:w="7477" w:type="dxa"/>
            <w:shd w:val="clear" w:color="auto" w:fill="D9D9D9"/>
          </w:tcPr>
          <w:p w14:paraId="40E960C7" w14:textId="77777777" w:rsidR="00840537" w:rsidRPr="006C43BC" w:rsidRDefault="00840537" w:rsidP="00A528DB">
            <w:pPr>
              <w:widowControl w:val="0"/>
              <w:tabs>
                <w:tab w:val="left" w:pos="900"/>
                <w:tab w:val="left" w:pos="6360"/>
              </w:tabs>
              <w:rPr>
                <w:rFonts w:ascii="Calibri" w:hAnsi="Calibri" w:cs="Times New Roman"/>
                <w:bCs/>
                <w:color w:val="auto"/>
              </w:rPr>
            </w:pPr>
          </w:p>
        </w:tc>
      </w:tr>
      <w:tr w:rsidR="00840537" w:rsidRPr="006C43BC" w14:paraId="38791152" w14:textId="77777777" w:rsidTr="00EA2B8A">
        <w:tc>
          <w:tcPr>
            <w:tcW w:w="783" w:type="dxa"/>
            <w:shd w:val="clear" w:color="auto" w:fill="D9D9D9"/>
            <w:hideMark/>
          </w:tcPr>
          <w:p w14:paraId="3122D271" w14:textId="77777777" w:rsidR="00840537" w:rsidRPr="006C43BC" w:rsidRDefault="00840537" w:rsidP="00A528DB">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5</w:t>
            </w:r>
          </w:p>
        </w:tc>
        <w:tc>
          <w:tcPr>
            <w:tcW w:w="698" w:type="dxa"/>
            <w:shd w:val="clear" w:color="auto" w:fill="D9D9D9"/>
          </w:tcPr>
          <w:p w14:paraId="1FEFF811" w14:textId="77777777" w:rsidR="00840537" w:rsidRPr="006C43BC" w:rsidRDefault="00840537" w:rsidP="00A528DB">
            <w:pPr>
              <w:widowControl w:val="0"/>
              <w:tabs>
                <w:tab w:val="left" w:pos="900"/>
                <w:tab w:val="left" w:pos="6360"/>
              </w:tabs>
              <w:rPr>
                <w:rFonts w:ascii="Calibri" w:hAnsi="Calibri" w:cs="Times New Roman"/>
                <w:bCs/>
                <w:color w:val="auto"/>
              </w:rPr>
            </w:pPr>
          </w:p>
        </w:tc>
        <w:tc>
          <w:tcPr>
            <w:tcW w:w="602" w:type="dxa"/>
            <w:shd w:val="clear" w:color="auto" w:fill="D9D9D9"/>
          </w:tcPr>
          <w:p w14:paraId="540C74CC" w14:textId="77777777" w:rsidR="00840537" w:rsidRPr="006C43BC" w:rsidRDefault="00840537" w:rsidP="00A528DB">
            <w:pPr>
              <w:widowControl w:val="0"/>
              <w:tabs>
                <w:tab w:val="left" w:pos="900"/>
                <w:tab w:val="left" w:pos="6360"/>
              </w:tabs>
              <w:rPr>
                <w:rFonts w:ascii="Calibri" w:hAnsi="Calibri" w:cs="Times New Roman"/>
                <w:bCs/>
                <w:color w:val="auto"/>
              </w:rPr>
            </w:pPr>
          </w:p>
        </w:tc>
        <w:tc>
          <w:tcPr>
            <w:tcW w:w="641" w:type="dxa"/>
            <w:shd w:val="clear" w:color="auto" w:fill="D9D9D9"/>
          </w:tcPr>
          <w:p w14:paraId="7CE9A107" w14:textId="77777777" w:rsidR="00840537" w:rsidRPr="006C43BC" w:rsidRDefault="00840537" w:rsidP="00A528DB">
            <w:pPr>
              <w:widowControl w:val="0"/>
              <w:tabs>
                <w:tab w:val="left" w:pos="900"/>
                <w:tab w:val="left" w:pos="6360"/>
              </w:tabs>
              <w:rPr>
                <w:rFonts w:ascii="Calibri" w:hAnsi="Calibri" w:cs="Times New Roman"/>
                <w:bCs/>
                <w:color w:val="auto"/>
              </w:rPr>
            </w:pPr>
          </w:p>
        </w:tc>
        <w:tc>
          <w:tcPr>
            <w:tcW w:w="589" w:type="dxa"/>
            <w:shd w:val="clear" w:color="auto" w:fill="D9D9D9"/>
          </w:tcPr>
          <w:p w14:paraId="29D39177" w14:textId="77777777" w:rsidR="00840537" w:rsidRPr="006C43BC" w:rsidRDefault="00840537" w:rsidP="00A528DB">
            <w:pPr>
              <w:widowControl w:val="0"/>
              <w:tabs>
                <w:tab w:val="left" w:pos="900"/>
                <w:tab w:val="left" w:pos="6360"/>
              </w:tabs>
              <w:rPr>
                <w:rFonts w:ascii="Calibri" w:hAnsi="Calibri" w:cs="Times New Roman"/>
                <w:bCs/>
                <w:color w:val="auto"/>
              </w:rPr>
            </w:pPr>
          </w:p>
        </w:tc>
        <w:tc>
          <w:tcPr>
            <w:tcW w:w="7477" w:type="dxa"/>
            <w:shd w:val="clear" w:color="auto" w:fill="D9D9D9"/>
          </w:tcPr>
          <w:p w14:paraId="348048E4" w14:textId="77777777" w:rsidR="00840537" w:rsidRPr="006C43BC" w:rsidRDefault="00840537" w:rsidP="00A528DB">
            <w:pPr>
              <w:widowControl w:val="0"/>
              <w:tabs>
                <w:tab w:val="left" w:pos="900"/>
                <w:tab w:val="left" w:pos="6360"/>
              </w:tabs>
              <w:rPr>
                <w:rFonts w:ascii="Calibri" w:hAnsi="Calibri" w:cs="Times New Roman"/>
                <w:bCs/>
                <w:color w:val="auto"/>
              </w:rPr>
            </w:pPr>
          </w:p>
        </w:tc>
      </w:tr>
      <w:tr w:rsidR="006F6D5A" w:rsidRPr="006C43BC" w14:paraId="13D2EF60" w14:textId="77777777" w:rsidTr="00EA2B8A">
        <w:tc>
          <w:tcPr>
            <w:tcW w:w="783" w:type="dxa"/>
            <w:shd w:val="clear" w:color="auto" w:fill="D9D9D9"/>
            <w:hideMark/>
          </w:tcPr>
          <w:p w14:paraId="179A3D00" w14:textId="77777777" w:rsidR="006F6D5A" w:rsidRPr="006C43BC" w:rsidRDefault="00840537">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6</w:t>
            </w:r>
          </w:p>
        </w:tc>
        <w:tc>
          <w:tcPr>
            <w:tcW w:w="698" w:type="dxa"/>
            <w:shd w:val="clear" w:color="auto" w:fill="D9D9D9"/>
          </w:tcPr>
          <w:p w14:paraId="1322E40C"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602" w:type="dxa"/>
            <w:shd w:val="clear" w:color="auto" w:fill="D9D9D9"/>
          </w:tcPr>
          <w:p w14:paraId="3C9358EE"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14:paraId="7BC7819E"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589" w:type="dxa"/>
            <w:shd w:val="clear" w:color="auto" w:fill="D9D9D9"/>
          </w:tcPr>
          <w:p w14:paraId="2FC47E77" w14:textId="77777777" w:rsidR="006F6D5A" w:rsidRPr="006C43BC" w:rsidRDefault="006F6D5A" w:rsidP="006C43BC">
            <w:pPr>
              <w:widowControl w:val="0"/>
              <w:tabs>
                <w:tab w:val="left" w:pos="900"/>
                <w:tab w:val="left" w:pos="6360"/>
              </w:tabs>
              <w:rPr>
                <w:rFonts w:ascii="Calibri" w:hAnsi="Calibri" w:cs="Times New Roman"/>
                <w:bCs/>
                <w:color w:val="auto"/>
              </w:rPr>
            </w:pPr>
          </w:p>
        </w:tc>
        <w:tc>
          <w:tcPr>
            <w:tcW w:w="7477" w:type="dxa"/>
            <w:shd w:val="clear" w:color="auto" w:fill="D9D9D9"/>
          </w:tcPr>
          <w:p w14:paraId="20345CA5" w14:textId="77777777" w:rsidR="006F6D5A" w:rsidRPr="006C43BC" w:rsidRDefault="006F6D5A" w:rsidP="006C43BC">
            <w:pPr>
              <w:widowControl w:val="0"/>
              <w:tabs>
                <w:tab w:val="left" w:pos="900"/>
                <w:tab w:val="left" w:pos="6360"/>
              </w:tabs>
              <w:rPr>
                <w:rFonts w:ascii="Calibri" w:hAnsi="Calibri" w:cs="Times New Roman"/>
                <w:bCs/>
                <w:color w:val="auto"/>
              </w:rPr>
            </w:pPr>
          </w:p>
        </w:tc>
      </w:tr>
    </w:tbl>
    <w:p w14:paraId="1E35E9A7" w14:textId="77777777" w:rsidR="006F6D5A" w:rsidRPr="006C43BC" w:rsidRDefault="006F6D5A" w:rsidP="006F6D5A">
      <w:pPr>
        <w:widowControl w:val="0"/>
        <w:tabs>
          <w:tab w:val="left" w:pos="60"/>
        </w:tabs>
        <w:rPr>
          <w:rFonts w:ascii="Calibri" w:hAnsi="Calibri" w:cs="Times New Roman"/>
        </w:rPr>
      </w:pPr>
    </w:p>
    <w:p w14:paraId="155172DA" w14:textId="77777777" w:rsidR="003C20AB" w:rsidRPr="006C43BC" w:rsidRDefault="003C20AB" w:rsidP="006F6D5A">
      <w:pPr>
        <w:autoSpaceDE/>
        <w:adjustRightInd/>
        <w:rPr>
          <w:rFonts w:ascii="Calibri" w:hAnsi="Calibri" w:cs="Times New Roman"/>
        </w:rPr>
      </w:pPr>
    </w:p>
    <w:p w14:paraId="70AFDE19" w14:textId="77777777" w:rsidR="003C20AB" w:rsidRPr="00501FCB" w:rsidRDefault="007778AA" w:rsidP="00CC7E3E">
      <w:pPr>
        <w:pStyle w:val="Heading1"/>
        <w:rPr>
          <w:rFonts w:ascii="Calibri" w:hAnsi="Calibri"/>
          <w:b/>
          <w:color w:val="auto"/>
          <w:sz w:val="26"/>
          <w:szCs w:val="24"/>
          <w:u w:val="single"/>
        </w:rPr>
      </w:pPr>
      <w:bookmarkStart w:id="5" w:name="_Toc330463564"/>
      <w:r w:rsidRPr="006C43BC">
        <w:rPr>
          <w:rFonts w:ascii="Calibri" w:hAnsi="Calibri"/>
        </w:rPr>
        <w:br w:type="page"/>
      </w:r>
      <w:r w:rsidR="009E11CF" w:rsidRPr="00501FCB">
        <w:rPr>
          <w:rFonts w:ascii="Calibri" w:hAnsi="Calibri"/>
          <w:b/>
          <w:color w:val="auto"/>
          <w:sz w:val="30"/>
          <w:szCs w:val="24"/>
          <w:u w:val="single"/>
        </w:rPr>
        <w:lastRenderedPageBreak/>
        <w:t>Additional</w:t>
      </w:r>
      <w:r w:rsidR="003C20AB" w:rsidRPr="00501FCB">
        <w:rPr>
          <w:rFonts w:ascii="Calibri" w:hAnsi="Calibri"/>
          <w:b/>
          <w:color w:val="auto"/>
          <w:sz w:val="30"/>
          <w:szCs w:val="24"/>
          <w:u w:val="single"/>
        </w:rPr>
        <w:t xml:space="preserve"> I</w:t>
      </w:r>
      <w:r w:rsidR="00047231" w:rsidRPr="00501FCB">
        <w:rPr>
          <w:rFonts w:ascii="Calibri" w:hAnsi="Calibri"/>
          <w:b/>
          <w:color w:val="auto"/>
          <w:sz w:val="30"/>
          <w:szCs w:val="24"/>
          <w:u w:val="single"/>
        </w:rPr>
        <w:t>n</w:t>
      </w:r>
      <w:r w:rsidR="00353E3C" w:rsidRPr="00501FCB">
        <w:rPr>
          <w:rFonts w:ascii="Calibri" w:hAnsi="Calibri"/>
          <w:b/>
          <w:color w:val="auto"/>
          <w:sz w:val="30"/>
          <w:szCs w:val="24"/>
          <w:u w:val="single"/>
        </w:rPr>
        <w:t>formation</w:t>
      </w:r>
      <w:bookmarkEnd w:id="5"/>
      <w:r w:rsidR="00FD4903" w:rsidRPr="00501FCB">
        <w:rPr>
          <w:rFonts w:ascii="Calibri" w:hAnsi="Calibri"/>
          <w:b/>
          <w:color w:val="auto"/>
          <w:sz w:val="30"/>
          <w:szCs w:val="24"/>
          <w:u w:val="single"/>
        </w:rPr>
        <w:t>:</w:t>
      </w:r>
    </w:p>
    <w:p w14:paraId="25E85B2C" w14:textId="77777777" w:rsidR="007E0126" w:rsidRPr="006C43BC" w:rsidRDefault="007E0126">
      <w:pPr>
        <w:autoSpaceDE/>
        <w:autoSpaceDN/>
        <w:adjustRightInd/>
        <w:rPr>
          <w:rFonts w:ascii="Calibri" w:hAnsi="Calibri"/>
        </w:rPr>
      </w:pPr>
    </w:p>
    <w:p w14:paraId="5DFE64A6" w14:textId="77777777" w:rsidR="00CC7E3E" w:rsidRPr="006C43BC" w:rsidRDefault="00CC7E3E" w:rsidP="00CC7E3E">
      <w:pPr>
        <w:autoSpaceDE/>
        <w:autoSpaceDN/>
        <w:adjustRightInd/>
        <w:rPr>
          <w:rFonts w:ascii="Calibri" w:hAnsi="Calibri"/>
        </w:rPr>
      </w:pPr>
      <w:bookmarkStart w:id="6" w:name="_Toc330463565"/>
      <w:r w:rsidRPr="006C43BC">
        <w:rPr>
          <w:rStyle w:val="SubtitleChar"/>
          <w:rFonts w:ascii="Calibri" w:hAnsi="Calibri" w:cs="Tahoma"/>
          <w:b/>
          <w:i w:val="0"/>
          <w:color w:val="auto"/>
          <w:u w:val="single"/>
        </w:rPr>
        <w:t>Reliability Standard</w:t>
      </w:r>
    </w:p>
    <w:p w14:paraId="036820F4" w14:textId="77777777" w:rsidR="00CC7E3E" w:rsidRPr="006C43BC" w:rsidRDefault="00CC7E3E" w:rsidP="00CC7E3E">
      <w:pPr>
        <w:rPr>
          <w:rFonts w:ascii="Calibri" w:hAnsi="Calibri"/>
        </w:rPr>
      </w:pPr>
    </w:p>
    <w:bookmarkEnd w:id="6"/>
    <w:p w14:paraId="4CC4F2A7" w14:textId="77777777" w:rsidR="00A5699C" w:rsidRPr="00F51471" w:rsidRDefault="00A5699C" w:rsidP="00A5699C">
      <w:pPr>
        <w:pStyle w:val="Section"/>
      </w:pPr>
      <w:r w:rsidRPr="00F51471">
        <w:t>Introduction</w:t>
      </w:r>
    </w:p>
    <w:p w14:paraId="3A9DCB7B" w14:textId="77777777" w:rsidR="00A5699C" w:rsidRPr="00A15913" w:rsidRDefault="00A5699C" w:rsidP="00A5699C">
      <w:pPr>
        <w:pStyle w:val="ListNumber"/>
        <w:rPr>
          <w:b/>
        </w:rPr>
      </w:pPr>
      <w:r w:rsidRPr="00A15913">
        <w:rPr>
          <w:b/>
        </w:rPr>
        <w:t>Title:</w:t>
      </w:r>
      <w:r>
        <w:rPr>
          <w:b/>
        </w:rPr>
        <w:tab/>
        <w:t xml:space="preserve">Assessment of </w:t>
      </w:r>
      <w:r w:rsidRPr="00470C4C">
        <w:rPr>
          <w:b/>
        </w:rPr>
        <w:t>Transfer Capabilit</w:t>
      </w:r>
      <w:r>
        <w:rPr>
          <w:b/>
        </w:rPr>
        <w:t>y for the Near-Term Transmission Planning Horizon</w:t>
      </w:r>
    </w:p>
    <w:p w14:paraId="52940D37" w14:textId="77777777" w:rsidR="00A5699C" w:rsidRPr="00A15913" w:rsidRDefault="00A5699C" w:rsidP="00A5699C">
      <w:pPr>
        <w:pStyle w:val="ListNumber"/>
        <w:rPr>
          <w:b/>
        </w:rPr>
      </w:pPr>
      <w:r w:rsidRPr="00A15913">
        <w:rPr>
          <w:b/>
        </w:rPr>
        <w:t>Number:</w:t>
      </w:r>
      <w:r>
        <w:rPr>
          <w:b/>
        </w:rPr>
        <w:tab/>
      </w:r>
      <w:r w:rsidRPr="00836B06">
        <w:t>FAC-013-</w:t>
      </w:r>
      <w:r>
        <w:t>2</w:t>
      </w:r>
    </w:p>
    <w:p w14:paraId="14CBE787" w14:textId="77777777" w:rsidR="00A5699C" w:rsidRPr="00B40131" w:rsidRDefault="00A5699C" w:rsidP="00A5699C">
      <w:pPr>
        <w:pStyle w:val="ListNumber"/>
        <w:rPr>
          <w:b/>
        </w:rPr>
      </w:pPr>
      <w:r w:rsidRPr="00A15913">
        <w:rPr>
          <w:b/>
        </w:rPr>
        <w:t>Purpose:</w:t>
      </w:r>
      <w:r>
        <w:rPr>
          <w:b/>
        </w:rPr>
        <w:tab/>
      </w:r>
      <w:r w:rsidRPr="00D7286A">
        <w:t xml:space="preserve">To ensure </w:t>
      </w:r>
      <w:r>
        <w:t>that</w:t>
      </w:r>
      <w:r w:rsidRPr="00D7286A">
        <w:t xml:space="preserve"> </w:t>
      </w:r>
      <w:r>
        <w:t>Planning Coordinators have a methodology for, and perform an annual assessment to identify potential future Transmission System weaknesses and limiting Facilities that could impact the Bulk Electric System’s (BES) ability to reliably transfer energy in the Near-Term Transmission Planning Horizon.</w:t>
      </w:r>
    </w:p>
    <w:p w14:paraId="6D7DD2C6" w14:textId="77777777" w:rsidR="00A5699C" w:rsidRDefault="00A5699C" w:rsidP="00A5699C">
      <w:pPr>
        <w:pStyle w:val="ListNumber"/>
        <w:rPr>
          <w:b/>
        </w:rPr>
      </w:pPr>
      <w:r w:rsidRPr="00A15913">
        <w:rPr>
          <w:b/>
        </w:rPr>
        <w:t>Applicability:</w:t>
      </w:r>
    </w:p>
    <w:p w14:paraId="0F0BE0A2" w14:textId="77777777" w:rsidR="00A5699C" w:rsidRPr="00A15913" w:rsidRDefault="00A5699C" w:rsidP="00A5699C">
      <w:pPr>
        <w:pStyle w:val="ListNumber"/>
        <w:numPr>
          <w:ilvl w:val="1"/>
          <w:numId w:val="25"/>
        </w:numPr>
        <w:rPr>
          <w:b/>
        </w:rPr>
      </w:pPr>
      <w:r w:rsidRPr="00FD62FF">
        <w:rPr>
          <w:b/>
        </w:rPr>
        <w:t>Planning Coordinators</w:t>
      </w:r>
    </w:p>
    <w:p w14:paraId="55B54D24" w14:textId="77777777" w:rsidR="00A5699C" w:rsidRDefault="00A5699C" w:rsidP="00A5699C">
      <w:pPr>
        <w:pStyle w:val="ListNumber"/>
        <w:tabs>
          <w:tab w:val="left" w:pos="3600"/>
        </w:tabs>
        <w:rPr>
          <w:b/>
        </w:rPr>
      </w:pPr>
      <w:r w:rsidRPr="00A15913">
        <w:rPr>
          <w:b/>
        </w:rPr>
        <w:t>Effective Date:</w:t>
      </w:r>
    </w:p>
    <w:p w14:paraId="275D30F3" w14:textId="77777777" w:rsidR="00A5699C" w:rsidRPr="00FD62FF" w:rsidRDefault="00A5699C" w:rsidP="00A5699C">
      <w:pPr>
        <w:pStyle w:val="ListNumber"/>
        <w:numPr>
          <w:ilvl w:val="0"/>
          <w:numId w:val="0"/>
        </w:numPr>
        <w:tabs>
          <w:tab w:val="left" w:pos="3600"/>
        </w:tabs>
        <w:ind w:left="936"/>
      </w:pPr>
      <w:r w:rsidRPr="00FD62FF">
        <w:t>In those jurisdictions where regulatory approval is required, the latter of either the first day of the first calendar quarter twelve months after applicable regulatory approval or the first day of the first calendar quarter six months after MOD-001-1, MOD-028-1, MOD-029-1, and MOD-030-2 are effective.</w:t>
      </w:r>
    </w:p>
    <w:p w14:paraId="3D2BB012" w14:textId="77777777" w:rsidR="00A5699C" w:rsidRPr="00A15913" w:rsidRDefault="00A5699C" w:rsidP="00A5699C">
      <w:pPr>
        <w:pStyle w:val="ListNumber"/>
        <w:numPr>
          <w:ilvl w:val="0"/>
          <w:numId w:val="0"/>
        </w:numPr>
        <w:tabs>
          <w:tab w:val="left" w:pos="3600"/>
        </w:tabs>
        <w:ind w:left="936"/>
        <w:rPr>
          <w:b/>
        </w:rPr>
      </w:pPr>
      <w:r w:rsidRPr="00FD62FF">
        <w:t>In those jurisdictions where no regulatory approval is required, the latter of either the first day of the first calendar quarter twelve months after Board of Trustees adoption or the first day of the first calendar quarter six months after MOD-001-1, MOD-028-1, MOD-029-1 and MOD-030-2 are effective.</w:t>
      </w:r>
      <w:r>
        <w:rPr>
          <w:b/>
        </w:rPr>
        <w:tab/>
      </w:r>
      <w:r>
        <w:rPr>
          <w:b/>
        </w:rPr>
        <w:tab/>
      </w:r>
    </w:p>
    <w:p w14:paraId="500E7B8E" w14:textId="77777777" w:rsidR="00A5699C" w:rsidRDefault="00A5699C" w:rsidP="00A5699C">
      <w:pPr>
        <w:pStyle w:val="Section"/>
      </w:pPr>
      <w:r>
        <w:t>Requirements</w:t>
      </w:r>
    </w:p>
    <w:p w14:paraId="56A6C855" w14:textId="77777777" w:rsidR="00A5699C" w:rsidRPr="00FD62FF" w:rsidRDefault="00A5699C" w:rsidP="00A5699C">
      <w:pPr>
        <w:pStyle w:val="Requirement"/>
      </w:pPr>
      <w:r w:rsidRPr="00FD62FF">
        <w:t xml:space="preserve">Each Planning Coordinator shall have a documented methodology it uses to perform an annual assessment of Transfer Capability in the Near-Term Transmission Planning Horizon (Transfer Capability </w:t>
      </w:r>
      <w:r>
        <w:t>m</w:t>
      </w:r>
      <w:r w:rsidRPr="00FD62FF">
        <w:t xml:space="preserve">ethodology). The Transfer Capability </w:t>
      </w:r>
      <w:r>
        <w:t>methodology</w:t>
      </w:r>
      <w:r w:rsidRPr="00FD62FF">
        <w:t xml:space="preserve"> shall include, at a minimum, the following information:</w:t>
      </w:r>
      <w:r>
        <w:t xml:space="preserve"> </w:t>
      </w:r>
      <w:r w:rsidRPr="009B7331">
        <w:rPr>
          <w:i/>
        </w:rPr>
        <w:t>[</w:t>
      </w:r>
      <w:r>
        <w:rPr>
          <w:i/>
        </w:rPr>
        <w:t>Violation Risk Factor:</w:t>
      </w:r>
      <w:r w:rsidRPr="00FD62FF">
        <w:rPr>
          <w:i/>
          <w:iCs/>
          <w:sz w:val="22"/>
          <w:szCs w:val="22"/>
        </w:rPr>
        <w:t xml:space="preserve"> </w:t>
      </w:r>
      <w:r>
        <w:rPr>
          <w:i/>
          <w:iCs/>
          <w:sz w:val="22"/>
          <w:szCs w:val="22"/>
        </w:rPr>
        <w:t>Medium</w:t>
      </w:r>
      <w:r>
        <w:rPr>
          <w:i/>
        </w:rPr>
        <w:t>] [Time Horizon:</w:t>
      </w:r>
      <w:r w:rsidRPr="00FD62FF">
        <w:rPr>
          <w:i/>
          <w:iCs/>
          <w:sz w:val="22"/>
          <w:szCs w:val="22"/>
        </w:rPr>
        <w:t xml:space="preserve"> </w:t>
      </w:r>
      <w:r w:rsidRPr="004B0EAD">
        <w:rPr>
          <w:i/>
          <w:iCs/>
          <w:sz w:val="22"/>
          <w:szCs w:val="22"/>
        </w:rPr>
        <w:t>Long-term Planning</w:t>
      </w:r>
      <w:r>
        <w:rPr>
          <w:i/>
        </w:rPr>
        <w:t xml:space="preserve"> ]</w:t>
      </w:r>
    </w:p>
    <w:p w14:paraId="5760453C" w14:textId="77777777" w:rsidR="00A5699C" w:rsidRDefault="00A5699C" w:rsidP="00A5699C">
      <w:pPr>
        <w:pStyle w:val="Requirement"/>
        <w:numPr>
          <w:ilvl w:val="1"/>
          <w:numId w:val="29"/>
        </w:numPr>
      </w:pPr>
      <w:r w:rsidRPr="00FD62FF">
        <w:t>Criteria for the selection of the transfers to be assessed.</w:t>
      </w:r>
    </w:p>
    <w:p w14:paraId="234CFF44" w14:textId="77777777" w:rsidR="00A5699C" w:rsidRDefault="00A5699C" w:rsidP="00A5699C">
      <w:pPr>
        <w:pStyle w:val="Requirement"/>
        <w:numPr>
          <w:ilvl w:val="1"/>
          <w:numId w:val="29"/>
        </w:numPr>
      </w:pPr>
      <w:r w:rsidRPr="00FD62FF">
        <w:t>A statement that the assessment shall respect known System Operating Limits (SOLs).</w:t>
      </w:r>
    </w:p>
    <w:p w14:paraId="5BE99FD4" w14:textId="77777777" w:rsidR="00A5699C" w:rsidRDefault="00A5699C" w:rsidP="00A5699C">
      <w:pPr>
        <w:pStyle w:val="Requirement"/>
        <w:numPr>
          <w:ilvl w:val="1"/>
          <w:numId w:val="29"/>
        </w:numPr>
      </w:pPr>
      <w:r w:rsidRPr="00FD62FF">
        <w:t xml:space="preserve">A statement that the assumptions and criteria used to perform the </w:t>
      </w:r>
      <w:r>
        <w:t>assessment</w:t>
      </w:r>
      <w:r w:rsidRPr="00FD62FF">
        <w:t xml:space="preserve"> are consistent with the Planning Coordinator’s planning practices.</w:t>
      </w:r>
    </w:p>
    <w:p w14:paraId="2CA576D6" w14:textId="77777777" w:rsidR="00A5699C" w:rsidRPr="00971EDD" w:rsidRDefault="00A5699C" w:rsidP="00A5699C">
      <w:pPr>
        <w:pStyle w:val="Requirement"/>
        <w:numPr>
          <w:ilvl w:val="1"/>
          <w:numId w:val="29"/>
        </w:numPr>
      </w:pPr>
      <w:r w:rsidRPr="00FD62FF">
        <w:t>A description of how each of the following assumptions and criteria used in performing the assessment are addressed:</w:t>
      </w:r>
    </w:p>
    <w:p w14:paraId="62CCBC04" w14:textId="77777777" w:rsidR="00A5699C" w:rsidRDefault="00A5699C" w:rsidP="00A5699C">
      <w:pPr>
        <w:pStyle w:val="Requirement"/>
        <w:numPr>
          <w:ilvl w:val="2"/>
          <w:numId w:val="29"/>
        </w:numPr>
      </w:pPr>
      <w:r w:rsidRPr="00FD62FF">
        <w:t>Generation dispatch, including but not limited to long term planned outages, additions and retirements.</w:t>
      </w:r>
    </w:p>
    <w:p w14:paraId="6355E235" w14:textId="77777777" w:rsidR="00A5699C" w:rsidRDefault="00A5699C" w:rsidP="00A5699C">
      <w:pPr>
        <w:pStyle w:val="Requirement"/>
        <w:numPr>
          <w:ilvl w:val="2"/>
          <w:numId w:val="29"/>
        </w:numPr>
      </w:pPr>
      <w:r w:rsidRPr="00FD62FF">
        <w:lastRenderedPageBreak/>
        <w:t>Transmission system topology, including but not limited to long term planned Transmission outages, additions, and retirements.</w:t>
      </w:r>
    </w:p>
    <w:p w14:paraId="70D3F5A6" w14:textId="77777777" w:rsidR="00A5699C" w:rsidRDefault="00A5699C" w:rsidP="00A5699C">
      <w:pPr>
        <w:pStyle w:val="Requirement"/>
        <w:numPr>
          <w:ilvl w:val="2"/>
          <w:numId w:val="29"/>
        </w:numPr>
      </w:pPr>
      <w:r w:rsidRPr="00FD62FF">
        <w:t>System demand.</w:t>
      </w:r>
    </w:p>
    <w:p w14:paraId="0E83DED0" w14:textId="77777777" w:rsidR="00A5699C" w:rsidRDefault="00A5699C" w:rsidP="00A5699C">
      <w:pPr>
        <w:pStyle w:val="Requirement"/>
        <w:numPr>
          <w:ilvl w:val="2"/>
          <w:numId w:val="29"/>
        </w:numPr>
      </w:pPr>
      <w:r w:rsidRPr="00FD62FF">
        <w:t>Current approved and projected Transmission uses.</w:t>
      </w:r>
    </w:p>
    <w:p w14:paraId="74078EA0" w14:textId="77777777" w:rsidR="00A5699C" w:rsidRDefault="00A5699C" w:rsidP="00A5699C">
      <w:pPr>
        <w:pStyle w:val="Requirement"/>
        <w:numPr>
          <w:ilvl w:val="2"/>
          <w:numId w:val="29"/>
        </w:numPr>
      </w:pPr>
      <w:r w:rsidRPr="00FD62FF">
        <w:t>Parallel path (loop flow) adjustments.</w:t>
      </w:r>
    </w:p>
    <w:p w14:paraId="60F791C0" w14:textId="77777777" w:rsidR="00A5699C" w:rsidRDefault="00A5699C" w:rsidP="00A5699C">
      <w:pPr>
        <w:pStyle w:val="Requirement"/>
        <w:numPr>
          <w:ilvl w:val="2"/>
          <w:numId w:val="29"/>
        </w:numPr>
      </w:pPr>
      <w:r w:rsidRPr="00FD62FF">
        <w:t>Contingencies</w:t>
      </w:r>
    </w:p>
    <w:p w14:paraId="149F55E2" w14:textId="77777777" w:rsidR="00A5699C" w:rsidRDefault="00A5699C" w:rsidP="00A5699C">
      <w:pPr>
        <w:pStyle w:val="Requirement"/>
        <w:numPr>
          <w:ilvl w:val="2"/>
          <w:numId w:val="29"/>
        </w:numPr>
      </w:pPr>
      <w:r w:rsidRPr="00FD62FF">
        <w:t>Monitored Facilities.</w:t>
      </w:r>
    </w:p>
    <w:p w14:paraId="3FAE7E7E" w14:textId="77777777" w:rsidR="00A5699C" w:rsidRDefault="00A5699C" w:rsidP="00A5699C">
      <w:pPr>
        <w:pStyle w:val="Requirement"/>
        <w:numPr>
          <w:ilvl w:val="1"/>
          <w:numId w:val="29"/>
        </w:numPr>
      </w:pPr>
      <w:r w:rsidRPr="00FD62FF">
        <w:t>A description of how simulations of transfers are performed through the adjustment of generation, Load or both.</w:t>
      </w:r>
    </w:p>
    <w:p w14:paraId="243774E0" w14:textId="77777777" w:rsidR="00A5699C" w:rsidRDefault="00A5699C" w:rsidP="00A5699C">
      <w:pPr>
        <w:pStyle w:val="Requirement"/>
      </w:pPr>
      <w:r w:rsidRPr="00FD62FF">
        <w:t xml:space="preserve">Each Planning Coordinator shall issue its Transfer Capability </w:t>
      </w:r>
      <w:r>
        <w:t>methodology</w:t>
      </w:r>
      <w:r w:rsidRPr="00FD62FF">
        <w:t xml:space="preserve">, and any revisions to the Transfer Capability </w:t>
      </w:r>
      <w:r>
        <w:t>methodology</w:t>
      </w:r>
      <w:r w:rsidRPr="00FD62FF">
        <w:t xml:space="preserve">, to the following entities subject to the following: </w:t>
      </w:r>
      <w:r w:rsidRPr="00D82B71">
        <w:rPr>
          <w:i/>
        </w:rPr>
        <w:t>[Violation Risk Factor: Lower] [Time Horizon: Long-term Planning]</w:t>
      </w:r>
    </w:p>
    <w:p w14:paraId="7E8B8BB0" w14:textId="77777777" w:rsidR="00A5699C" w:rsidRDefault="00A5699C" w:rsidP="00A5699C">
      <w:pPr>
        <w:pStyle w:val="Requirement"/>
        <w:numPr>
          <w:ilvl w:val="1"/>
          <w:numId w:val="29"/>
        </w:numPr>
      </w:pPr>
      <w:r w:rsidRPr="00E61458">
        <w:t>Distribute to the following prior to the effectiveness of such revisions:</w:t>
      </w:r>
    </w:p>
    <w:p w14:paraId="4A7AE8BB" w14:textId="77777777" w:rsidR="00A5699C" w:rsidRDefault="00A5699C" w:rsidP="00A5699C">
      <w:pPr>
        <w:pStyle w:val="Requirement"/>
        <w:numPr>
          <w:ilvl w:val="2"/>
          <w:numId w:val="29"/>
        </w:numPr>
      </w:pPr>
      <w:r w:rsidRPr="00E61458">
        <w:t>Each Planning Coordinator adjacent to the Planning Coordinator’s Planning Coordinator area or overlapping the Planning Coordinator’s area.</w:t>
      </w:r>
    </w:p>
    <w:p w14:paraId="683F2945" w14:textId="77777777" w:rsidR="00A5699C" w:rsidRDefault="00A5699C" w:rsidP="00A5699C">
      <w:pPr>
        <w:pStyle w:val="Requirement"/>
        <w:numPr>
          <w:ilvl w:val="2"/>
          <w:numId w:val="29"/>
        </w:numPr>
      </w:pPr>
      <w:r w:rsidRPr="00E61458">
        <w:t>Each Transmission Planner within the Planning Coordinator’s Planning Coordinator area.</w:t>
      </w:r>
    </w:p>
    <w:p w14:paraId="5A1F2604" w14:textId="77777777" w:rsidR="00A5699C" w:rsidRPr="00EA0F91" w:rsidRDefault="00A5699C" w:rsidP="00A5699C">
      <w:pPr>
        <w:pStyle w:val="Requirement"/>
        <w:numPr>
          <w:ilvl w:val="1"/>
          <w:numId w:val="29"/>
        </w:numPr>
      </w:pPr>
      <w:r w:rsidRPr="00EA0F91">
        <w:t>Distribute to each functional entity that has a reliability-related need for the Transfer Capability methodology and submits a request for that methodology within 30 calendar days of receiving that written request.</w:t>
      </w:r>
    </w:p>
    <w:p w14:paraId="78023B25" w14:textId="77777777" w:rsidR="00A5699C" w:rsidRDefault="00A5699C" w:rsidP="00A5699C">
      <w:pPr>
        <w:pStyle w:val="Requirement"/>
      </w:pPr>
      <w:r w:rsidRPr="00E61458">
        <w:t xml:space="preserve">If a recipient of the Transfer Capability </w:t>
      </w:r>
      <w:r>
        <w:t>m</w:t>
      </w:r>
      <w:r w:rsidRPr="00E61458">
        <w:t xml:space="preserve">ethodology provides documented concerns with the methodology, the Planning Coordinator shall provide a documented response to that recipient within 45 calendar days of receipt of those comments.  The response shall indicate whether a change will be made to the Transfer Capability </w:t>
      </w:r>
      <w:r>
        <w:t>m</w:t>
      </w:r>
      <w:r w:rsidRPr="00E61458">
        <w:t xml:space="preserve">ethodology and, if no change will be made to that Transfer Capability </w:t>
      </w:r>
      <w:r>
        <w:t>m</w:t>
      </w:r>
      <w:r w:rsidRPr="00E61458">
        <w:t xml:space="preserve">ethodology, the reason why.  </w:t>
      </w:r>
      <w:r w:rsidRPr="00D82B71">
        <w:rPr>
          <w:i/>
        </w:rPr>
        <w:t>[Violation Risk Factor: Lower][Time Horizon: Long-term Planning]</w:t>
      </w:r>
    </w:p>
    <w:p w14:paraId="08A3F687" w14:textId="77777777" w:rsidR="00A5699C" w:rsidRDefault="00A5699C" w:rsidP="00A5699C">
      <w:pPr>
        <w:pStyle w:val="Requirement"/>
      </w:pPr>
      <w:r w:rsidRPr="00E61458">
        <w:t xml:space="preserve">During each calendar year, each Planning Coordinator shall conduct simulations and document an assessment based on those simulations in accordance with its Transfer Capability </w:t>
      </w:r>
      <w:r>
        <w:t>m</w:t>
      </w:r>
      <w:r w:rsidRPr="00E61458">
        <w:t xml:space="preserve">ethodology for at least one year in the Near-Term Transmission Planning Horizon. </w:t>
      </w:r>
      <w:r w:rsidRPr="00D82B71">
        <w:rPr>
          <w:i/>
        </w:rPr>
        <w:t>[Violation Risk Factor: Medium] [Time Horizon: Long-term Planning]</w:t>
      </w:r>
    </w:p>
    <w:p w14:paraId="153544BB" w14:textId="77777777" w:rsidR="00A5699C" w:rsidRPr="00DE4C19" w:rsidRDefault="00A5699C" w:rsidP="00A5699C">
      <w:pPr>
        <w:pStyle w:val="Requirement"/>
        <w:rPr>
          <w:i/>
        </w:rPr>
      </w:pPr>
      <w:r w:rsidRPr="00E61458">
        <w:t xml:space="preserve">Each Planning Coordinator shall make the documented Transfer Capability assessment results available within 45 calendar days of the completion of the assessment to the recipients of its Transfer Capability </w:t>
      </w:r>
      <w:r>
        <w:t>m</w:t>
      </w:r>
      <w:r w:rsidRPr="00E61458">
        <w:t>ethodology pursuant to R</w:t>
      </w:r>
      <w:r>
        <w:t>equirement R2, P</w:t>
      </w:r>
      <w:r w:rsidRPr="00B40131">
        <w:t>arts 2.1 and Part 2.2. However, if a functional entity that has a reliability related need for the results of the annual assessment of the Transfer Capabilities makes a written reque</w:t>
      </w:r>
      <w:r w:rsidRPr="00E61458">
        <w:t xml:space="preserve">st for such an assessment after the completion of the assessment, the Planning Coordinator shall make the documented Transfer Capability assessment results available to that entity within 45 calendar days </w:t>
      </w:r>
      <w:r>
        <w:t>of</w:t>
      </w:r>
      <w:r w:rsidRPr="00E61458">
        <w:t xml:space="preserve"> receipt of the request</w:t>
      </w:r>
      <w:r>
        <w:t xml:space="preserve"> </w:t>
      </w:r>
      <w:r w:rsidRPr="00DE4C19">
        <w:rPr>
          <w:i/>
        </w:rPr>
        <w:t>[Violation Risk Factor: Lower] [Time Horizon: Long-term Planning]</w:t>
      </w:r>
    </w:p>
    <w:p w14:paraId="379A6970" w14:textId="77777777" w:rsidR="00A5699C" w:rsidRPr="00DE4C19" w:rsidRDefault="00A5699C" w:rsidP="00A5699C">
      <w:pPr>
        <w:pStyle w:val="Requirement"/>
        <w:rPr>
          <w:i/>
        </w:rPr>
      </w:pPr>
      <w:r w:rsidRPr="00E61458">
        <w:lastRenderedPageBreak/>
        <w:t xml:space="preserve">If a recipient of a documented Transfer Capability assessment requests data to support the assessment results, the Planning Coordinator shall provide such data to that entity within 45 calendar days of receipt of the request.   The provision of such data shall be subject to the legal and regulatory obligations of the Planning Coordinator’s area regarding the disclosure of confidential and/or sensitive information.  </w:t>
      </w:r>
      <w:r w:rsidRPr="00DE4C19">
        <w:rPr>
          <w:i/>
        </w:rPr>
        <w:t>[Violation Risk Factor: Lower] [Time Horizon: Long-term Planning]</w:t>
      </w:r>
    </w:p>
    <w:p w14:paraId="39CBCDAC" w14:textId="77777777" w:rsidR="00A5699C" w:rsidRDefault="00A5699C" w:rsidP="00A5699C">
      <w:pPr>
        <w:pStyle w:val="Section"/>
      </w:pPr>
      <w:r>
        <w:t>Measures</w:t>
      </w:r>
    </w:p>
    <w:p w14:paraId="5A9E0D1C" w14:textId="77777777" w:rsidR="00A5699C" w:rsidRDefault="00A5699C" w:rsidP="00A5699C">
      <w:pPr>
        <w:pStyle w:val="Measure"/>
      </w:pPr>
      <w:r>
        <w:t xml:space="preserve">Each </w:t>
      </w:r>
      <w:r w:rsidRPr="00E61458">
        <w:t xml:space="preserve">Planning Coordinator shall have a Transfer Capability </w:t>
      </w:r>
      <w:r>
        <w:t>m</w:t>
      </w:r>
      <w:r w:rsidRPr="00E61458">
        <w:t>ethodology that includes the information specified in Requirement R1.</w:t>
      </w:r>
    </w:p>
    <w:p w14:paraId="7C69CBE7" w14:textId="77777777" w:rsidR="00A5699C" w:rsidRDefault="00A5699C" w:rsidP="00A5699C">
      <w:pPr>
        <w:pStyle w:val="Measure"/>
      </w:pPr>
      <w:r>
        <w:t>Each Planning Coordinator</w:t>
      </w:r>
      <w:r w:rsidRPr="00470C4C">
        <w:t xml:space="preserve"> </w:t>
      </w:r>
      <w:r>
        <w:t>shall have evidence such as dated e-mail or dated transmittal letters that it provided the new or revised Transfer Capability methodology in accordance with Requirement R2</w:t>
      </w:r>
    </w:p>
    <w:p w14:paraId="01C049DE" w14:textId="77777777" w:rsidR="00A5699C" w:rsidRDefault="00A5699C" w:rsidP="00A5699C">
      <w:pPr>
        <w:pStyle w:val="Measure"/>
      </w:pPr>
      <w:r>
        <w:t xml:space="preserve">Each </w:t>
      </w:r>
      <w:r w:rsidRPr="00E61458">
        <w:t>Planning Coordinator shall have evidence, such as dated e-mail or dated transmittal letters, that the Planning Coordinator provided a written response to that commenter in accordance with Requirement R3.</w:t>
      </w:r>
    </w:p>
    <w:p w14:paraId="48DE8152" w14:textId="77777777" w:rsidR="00A5699C" w:rsidRPr="00881D5C" w:rsidRDefault="00A5699C" w:rsidP="00A5699C">
      <w:pPr>
        <w:pStyle w:val="Measure"/>
        <w:tabs>
          <w:tab w:val="left" w:pos="2592"/>
          <w:tab w:val="left" w:pos="3240"/>
        </w:tabs>
        <w:rPr>
          <w:rFonts w:ascii="Arial" w:hAnsi="Arial"/>
          <w:b/>
        </w:rPr>
      </w:pPr>
      <w:r>
        <w:t xml:space="preserve">Each </w:t>
      </w:r>
      <w:r w:rsidRPr="00881D5C">
        <w:t xml:space="preserve">Planning Coordinator shall have evidence such as dated assessment results, that it conducted and documented a Transfer Capability assessment in accordance with Requirement R4.  </w:t>
      </w:r>
    </w:p>
    <w:p w14:paraId="1B13FF0F" w14:textId="77777777" w:rsidR="00A5699C" w:rsidRPr="00881D5C" w:rsidRDefault="00A5699C" w:rsidP="00A5699C">
      <w:pPr>
        <w:pStyle w:val="Measure"/>
        <w:tabs>
          <w:tab w:val="left" w:pos="2592"/>
          <w:tab w:val="left" w:pos="3240"/>
        </w:tabs>
        <w:rPr>
          <w:rFonts w:ascii="Arial" w:hAnsi="Arial"/>
          <w:b/>
        </w:rPr>
      </w:pPr>
      <w:r>
        <w:t>Each Planning Coordinator</w:t>
      </w:r>
      <w:r w:rsidRPr="00470C4C">
        <w:t xml:space="preserve"> shall </w:t>
      </w:r>
      <w:r>
        <w:t>have evidence, such as dated copies of e-mails or transmittal letters,</w:t>
      </w:r>
      <w:r w:rsidRPr="00470C4C">
        <w:t xml:space="preserve"> that </w:t>
      </w:r>
      <w:r>
        <w:t>it made its documented Transfer Capability assessment available to the entities in accordance with Requirement R5.</w:t>
      </w:r>
    </w:p>
    <w:p w14:paraId="692CABE0" w14:textId="77777777" w:rsidR="00A5699C" w:rsidRPr="003D37D6" w:rsidRDefault="00A5699C" w:rsidP="00A5699C">
      <w:pPr>
        <w:pStyle w:val="Measure"/>
        <w:tabs>
          <w:tab w:val="left" w:pos="2592"/>
          <w:tab w:val="left" w:pos="3240"/>
        </w:tabs>
        <w:rPr>
          <w:rFonts w:ascii="Arial" w:hAnsi="Arial"/>
          <w:b/>
        </w:rPr>
      </w:pPr>
      <w:r>
        <w:t>Each Planning Coordinator shall have evidence, such as dated copies of e-mails or transmittal letters, that it made its documented Transfer Capability assessment data available in accordance with Requirement R6.</w:t>
      </w:r>
    </w:p>
    <w:p w14:paraId="71CAB0E0" w14:textId="77777777" w:rsidR="00A5699C" w:rsidRDefault="00A5699C" w:rsidP="00A5699C">
      <w:pPr>
        <w:pStyle w:val="Section"/>
      </w:pPr>
      <w:r>
        <w:t>Compliance</w:t>
      </w:r>
    </w:p>
    <w:p w14:paraId="07F06EED" w14:textId="77777777" w:rsidR="00A5699C" w:rsidRDefault="00A5699C" w:rsidP="00A5699C">
      <w:pPr>
        <w:pStyle w:val="ListNumber"/>
        <w:numPr>
          <w:ilvl w:val="0"/>
          <w:numId w:val="27"/>
        </w:numPr>
        <w:rPr>
          <w:b/>
        </w:rPr>
      </w:pPr>
      <w:r w:rsidRPr="00253F19">
        <w:rPr>
          <w:b/>
        </w:rPr>
        <w:t>Compliance Monitoring Process</w:t>
      </w:r>
    </w:p>
    <w:p w14:paraId="2DDC1CCA" w14:textId="77777777" w:rsidR="00A5699C" w:rsidRDefault="00A5699C" w:rsidP="00A5699C">
      <w:pPr>
        <w:pStyle w:val="ListNumber"/>
        <w:numPr>
          <w:ilvl w:val="1"/>
          <w:numId w:val="27"/>
        </w:numPr>
        <w:rPr>
          <w:b/>
        </w:rPr>
      </w:pPr>
      <w:r>
        <w:rPr>
          <w:b/>
        </w:rPr>
        <w:t>Compliance Enforcement Authority</w:t>
      </w:r>
    </w:p>
    <w:p w14:paraId="70494F0A" w14:textId="77777777" w:rsidR="00A5699C" w:rsidRDefault="00A5699C" w:rsidP="00A5699C">
      <w:pPr>
        <w:pStyle w:val="BodyIndent2"/>
      </w:pPr>
      <w:r>
        <w:t>Regional Entity</w:t>
      </w:r>
    </w:p>
    <w:p w14:paraId="476A34C8" w14:textId="77777777" w:rsidR="00A5699C" w:rsidRDefault="00A5699C" w:rsidP="00A5699C">
      <w:pPr>
        <w:pStyle w:val="ListNumber"/>
        <w:numPr>
          <w:ilvl w:val="1"/>
          <w:numId w:val="25"/>
        </w:numPr>
        <w:rPr>
          <w:b/>
        </w:rPr>
      </w:pPr>
      <w:r w:rsidRPr="0023786A">
        <w:rPr>
          <w:b/>
        </w:rPr>
        <w:t>Data Retention</w:t>
      </w:r>
    </w:p>
    <w:p w14:paraId="5077CA20" w14:textId="77777777" w:rsidR="00A5699C" w:rsidRDefault="00A5699C" w:rsidP="00A5699C">
      <w:pPr>
        <w:pStyle w:val="ListNumber"/>
        <w:numPr>
          <w:ilvl w:val="0"/>
          <w:numId w:val="0"/>
        </w:numPr>
        <w:ind w:left="1440"/>
      </w:pPr>
      <w:r>
        <w:t>The Planning Coordinator shall keep data or evidence to show compliance as identified below unless directed by its Compliance Enforcement Authority to retain specific evidence for a longer period of time as part of an investigation:</w:t>
      </w:r>
    </w:p>
    <w:p w14:paraId="1E9215ED" w14:textId="77777777" w:rsidR="00A5699C" w:rsidRDefault="00A5699C" w:rsidP="00A5699C">
      <w:pPr>
        <w:pStyle w:val="ListNumber"/>
        <w:numPr>
          <w:ilvl w:val="0"/>
          <w:numId w:val="30"/>
        </w:numPr>
        <w:tabs>
          <w:tab w:val="clear" w:pos="2160"/>
        </w:tabs>
      </w:pPr>
      <w:r>
        <w:t>The Planning Coordinator shall have its current Transfer Capability methodology and any prior versions of the Transfer Capability methodology that were in force since the last compliance audit to show compliance with Requirement R1.</w:t>
      </w:r>
    </w:p>
    <w:p w14:paraId="655FF8F1" w14:textId="77777777" w:rsidR="00A5699C" w:rsidRDefault="00A5699C" w:rsidP="00A5699C">
      <w:pPr>
        <w:pStyle w:val="ListNumber"/>
        <w:numPr>
          <w:ilvl w:val="0"/>
          <w:numId w:val="30"/>
        </w:numPr>
        <w:tabs>
          <w:tab w:val="clear" w:pos="2160"/>
        </w:tabs>
      </w:pPr>
      <w:r>
        <w:t>The Planning Coordinator shall retain evidence since its last compliance audit to show compliance with Requirement R2.</w:t>
      </w:r>
    </w:p>
    <w:p w14:paraId="2DDE1935" w14:textId="77777777" w:rsidR="00A5699C" w:rsidRDefault="00A5699C" w:rsidP="00A5699C">
      <w:pPr>
        <w:pStyle w:val="ListNumber"/>
        <w:numPr>
          <w:ilvl w:val="0"/>
          <w:numId w:val="30"/>
        </w:numPr>
        <w:tabs>
          <w:tab w:val="clear" w:pos="2160"/>
        </w:tabs>
      </w:pPr>
      <w:r>
        <w:t xml:space="preserve">The Planning Coordinator shall retain evidence to show compliance with Requirements R3, R4, R5 and R6 for the most recent assessment.  </w:t>
      </w:r>
    </w:p>
    <w:p w14:paraId="3C79D00F" w14:textId="77777777" w:rsidR="00A5699C" w:rsidRDefault="00A5699C" w:rsidP="00A5699C">
      <w:pPr>
        <w:pStyle w:val="ListNumber"/>
        <w:numPr>
          <w:ilvl w:val="0"/>
          <w:numId w:val="30"/>
        </w:numPr>
        <w:tabs>
          <w:tab w:val="clear" w:pos="2160"/>
        </w:tabs>
      </w:pPr>
      <w:r>
        <w:lastRenderedPageBreak/>
        <w:t xml:space="preserve">If a Planning Coordinator is found non-compliant, it shall keep information related to the non-compliance until found compliant or for the time periods specified above, whichever is longer. </w:t>
      </w:r>
    </w:p>
    <w:p w14:paraId="282FA611" w14:textId="77777777" w:rsidR="00A5699C" w:rsidRPr="00E61458" w:rsidRDefault="00A5699C" w:rsidP="00A5699C">
      <w:pPr>
        <w:pStyle w:val="ListNumber"/>
        <w:numPr>
          <w:ilvl w:val="0"/>
          <w:numId w:val="0"/>
        </w:numPr>
        <w:ind w:left="1440"/>
        <w:rPr>
          <w:b/>
        </w:rPr>
      </w:pPr>
      <w:r>
        <w:t xml:space="preserve">The Compliance Enforcement Authority shall keep the last audit records and all requested and submitted subsequent audit records.  </w:t>
      </w:r>
    </w:p>
    <w:p w14:paraId="4702B31E" w14:textId="77777777" w:rsidR="00A5699C" w:rsidRDefault="00A5699C" w:rsidP="00A5699C">
      <w:pPr>
        <w:pStyle w:val="ListNumber"/>
        <w:numPr>
          <w:ilvl w:val="1"/>
          <w:numId w:val="25"/>
        </w:numPr>
        <w:rPr>
          <w:b/>
        </w:rPr>
      </w:pPr>
      <w:r>
        <w:rPr>
          <w:b/>
        </w:rPr>
        <w:t>Compliance Monitoring and Assessment Processes</w:t>
      </w:r>
    </w:p>
    <w:p w14:paraId="4D9E50AD" w14:textId="77777777" w:rsidR="00A5699C" w:rsidRDefault="00A5699C" w:rsidP="00A5699C">
      <w:pPr>
        <w:pStyle w:val="ListNumber"/>
        <w:numPr>
          <w:ilvl w:val="0"/>
          <w:numId w:val="0"/>
        </w:numPr>
        <w:ind w:left="1440"/>
      </w:pPr>
      <w:r>
        <w:t xml:space="preserve">Compliance Audits </w:t>
      </w:r>
    </w:p>
    <w:p w14:paraId="4D89E153" w14:textId="77777777" w:rsidR="00A5699C" w:rsidRDefault="00A5699C" w:rsidP="00A5699C">
      <w:pPr>
        <w:pStyle w:val="ListNumber"/>
        <w:numPr>
          <w:ilvl w:val="0"/>
          <w:numId w:val="0"/>
        </w:numPr>
        <w:ind w:left="1440"/>
      </w:pPr>
      <w:r>
        <w:t xml:space="preserve">Self-Certifications </w:t>
      </w:r>
    </w:p>
    <w:p w14:paraId="3D961D3F" w14:textId="77777777" w:rsidR="00A5699C" w:rsidRDefault="00A5699C" w:rsidP="00A5699C">
      <w:pPr>
        <w:pStyle w:val="ListNumber"/>
        <w:numPr>
          <w:ilvl w:val="0"/>
          <w:numId w:val="0"/>
        </w:numPr>
        <w:ind w:left="1440"/>
      </w:pPr>
      <w:r>
        <w:t xml:space="preserve">Spot Checking </w:t>
      </w:r>
    </w:p>
    <w:p w14:paraId="42ECC989" w14:textId="77777777" w:rsidR="00A5699C" w:rsidRDefault="00A5699C" w:rsidP="00A5699C">
      <w:pPr>
        <w:pStyle w:val="ListNumber"/>
        <w:numPr>
          <w:ilvl w:val="0"/>
          <w:numId w:val="0"/>
        </w:numPr>
        <w:ind w:left="1440"/>
      </w:pPr>
      <w:r>
        <w:t xml:space="preserve">Compliance Violation Investigations </w:t>
      </w:r>
    </w:p>
    <w:p w14:paraId="10FC69D5" w14:textId="77777777" w:rsidR="00A5699C" w:rsidRDefault="00A5699C" w:rsidP="00A5699C">
      <w:pPr>
        <w:pStyle w:val="ListNumber"/>
        <w:numPr>
          <w:ilvl w:val="0"/>
          <w:numId w:val="0"/>
        </w:numPr>
        <w:ind w:left="1440"/>
      </w:pPr>
      <w:r>
        <w:t xml:space="preserve">Self-Reporting </w:t>
      </w:r>
    </w:p>
    <w:p w14:paraId="3E74DAC8" w14:textId="77777777" w:rsidR="00A5699C" w:rsidRPr="00E61458" w:rsidRDefault="00A5699C" w:rsidP="00A5699C">
      <w:pPr>
        <w:pStyle w:val="ListNumber"/>
        <w:numPr>
          <w:ilvl w:val="0"/>
          <w:numId w:val="0"/>
        </w:numPr>
        <w:ind w:left="1440"/>
        <w:rPr>
          <w:b/>
        </w:rPr>
      </w:pPr>
      <w:r>
        <w:t>Complaints</w:t>
      </w:r>
    </w:p>
    <w:p w14:paraId="23FA12A9" w14:textId="77777777" w:rsidR="00A5699C" w:rsidRPr="00F12542" w:rsidRDefault="00A5699C" w:rsidP="00A5699C">
      <w:pPr>
        <w:pStyle w:val="ListNumber"/>
        <w:numPr>
          <w:ilvl w:val="1"/>
          <w:numId w:val="25"/>
        </w:numPr>
        <w:rPr>
          <w:b/>
        </w:rPr>
      </w:pPr>
      <w:r w:rsidRPr="00F12542">
        <w:rPr>
          <w:b/>
        </w:rPr>
        <w:t>Additional Compliance Information</w:t>
      </w:r>
    </w:p>
    <w:p w14:paraId="4BAA955E" w14:textId="77777777" w:rsidR="00A5699C" w:rsidRPr="0023786A" w:rsidRDefault="00A5699C" w:rsidP="00A5699C">
      <w:pPr>
        <w:pStyle w:val="BodyIndent2"/>
      </w:pPr>
      <w:r>
        <w:t>None</w:t>
      </w:r>
    </w:p>
    <w:p w14:paraId="6A3104EC" w14:textId="77777777" w:rsidR="00CC7E3E" w:rsidRPr="008D1F95" w:rsidRDefault="00A5699C" w:rsidP="00CC7E3E">
      <w:pPr>
        <w:pStyle w:val="Subtitle"/>
        <w:rPr>
          <w:rFonts w:ascii="Times New Roman" w:hAnsi="Times New Roman"/>
          <w:i w:val="0"/>
          <w:color w:val="auto"/>
        </w:rPr>
      </w:pPr>
      <w:r>
        <w:rPr>
          <w:rFonts w:ascii="Calibri" w:hAnsi="Calibri" w:cs="Tahoma"/>
          <w:b/>
          <w:i w:val="0"/>
          <w:color w:val="auto"/>
          <w:u w:val="single"/>
        </w:rPr>
        <w:br w:type="page"/>
      </w:r>
      <w:r w:rsidR="00CC7E3E" w:rsidRPr="008D1F95">
        <w:rPr>
          <w:rFonts w:ascii="Times New Roman" w:hAnsi="Times New Roman"/>
          <w:b/>
          <w:i w:val="0"/>
          <w:color w:val="auto"/>
          <w:u w:val="single"/>
        </w:rPr>
        <w:lastRenderedPageBreak/>
        <w:t>Regulatory Language</w:t>
      </w:r>
      <w:r w:rsidR="00FD4903" w:rsidRPr="008D1F95">
        <w:rPr>
          <w:rFonts w:ascii="Times New Roman" w:hAnsi="Times New Roman"/>
          <w:i w:val="0"/>
          <w:color w:val="auto"/>
        </w:rPr>
        <w:t xml:space="preserve">   </w:t>
      </w:r>
    </w:p>
    <w:p w14:paraId="7596C067" w14:textId="77777777" w:rsidR="00FD4903" w:rsidRPr="008D1F95" w:rsidRDefault="00FD4903" w:rsidP="00CC7E3E">
      <w:pPr>
        <w:rPr>
          <w:rFonts w:ascii="Times New Roman" w:hAnsi="Times New Roman" w:cs="Times New Roman"/>
        </w:rPr>
      </w:pPr>
    </w:p>
    <w:p w14:paraId="3360141F" w14:textId="77777777" w:rsidR="004D737E" w:rsidRPr="008D1F95" w:rsidRDefault="004D737E" w:rsidP="004D737E">
      <w:pPr>
        <w:rPr>
          <w:rFonts w:ascii="Times New Roman" w:hAnsi="Times New Roman" w:cs="Times New Roman"/>
          <w:b/>
          <w:bCs/>
          <w:color w:val="333333"/>
        </w:rPr>
      </w:pPr>
      <w:r w:rsidRPr="008D1F95">
        <w:rPr>
          <w:rFonts w:ascii="Times New Roman" w:hAnsi="Times New Roman" w:cs="Times New Roman"/>
          <w:b/>
          <w:bCs/>
          <w:color w:val="333333"/>
        </w:rPr>
        <w:t xml:space="preserve">North Am. Elec. Reliability Corp., 137 F.E.R.C. </w:t>
      </w:r>
      <w:r w:rsidR="001303B6" w:rsidRPr="008D1F95">
        <w:rPr>
          <w:rFonts w:ascii="Times New Roman" w:hAnsi="Times New Roman" w:cs="Times New Roman"/>
          <w:b/>
          <w:bCs/>
          <w:color w:val="333333"/>
        </w:rPr>
        <w:t xml:space="preserve">¶ </w:t>
      </w:r>
      <w:r w:rsidRPr="008D1F95">
        <w:rPr>
          <w:rFonts w:ascii="Times New Roman" w:hAnsi="Times New Roman" w:cs="Times New Roman"/>
          <w:b/>
          <w:bCs/>
          <w:color w:val="333333"/>
        </w:rPr>
        <w:t>61,131 (2011)</w:t>
      </w:r>
    </w:p>
    <w:p w14:paraId="07F0C7E6" w14:textId="77777777" w:rsidR="004D737E" w:rsidRPr="008D1F95" w:rsidRDefault="004D737E" w:rsidP="004D737E">
      <w:pPr>
        <w:rPr>
          <w:rFonts w:ascii="Times New Roman" w:hAnsi="Times New Roman" w:cs="Times New Roman"/>
          <w:b/>
          <w:bCs/>
          <w:color w:val="333333"/>
        </w:rPr>
      </w:pPr>
    </w:p>
    <w:p w14:paraId="3B3185D7" w14:textId="77777777" w:rsidR="004D737E" w:rsidRPr="008D1F95" w:rsidRDefault="004D737E" w:rsidP="004D737E">
      <w:pPr>
        <w:rPr>
          <w:rFonts w:ascii="Times New Roman" w:hAnsi="Times New Roman" w:cs="Times New Roman"/>
          <w:color w:val="333333"/>
        </w:rPr>
      </w:pPr>
      <w:r w:rsidRPr="008D1F95">
        <w:rPr>
          <w:rFonts w:ascii="Times New Roman" w:hAnsi="Times New Roman" w:cs="Times New Roman"/>
          <w:b/>
          <w:bCs/>
          <w:color w:val="333333"/>
        </w:rPr>
        <w:t xml:space="preserve">A. Reliability Standard </w:t>
      </w:r>
      <w:r w:rsidRPr="008D1F95">
        <w:rPr>
          <w:rStyle w:val="term1"/>
          <w:rFonts w:ascii="Times New Roman" w:hAnsi="Times New Roman" w:cs="Times New Roman"/>
          <w:color w:val="333333"/>
        </w:rPr>
        <w:t>FAC-013-2</w:t>
      </w:r>
      <w:r w:rsidRPr="008D1F95">
        <w:rPr>
          <w:rFonts w:ascii="Times New Roman" w:hAnsi="Times New Roman" w:cs="Times New Roman"/>
          <w:color w:val="333333"/>
        </w:rPr>
        <w:br/>
        <w:t> </w:t>
      </w:r>
      <w:r w:rsidRPr="008D1F95">
        <w:rPr>
          <w:rFonts w:ascii="Times New Roman" w:hAnsi="Times New Roman" w:cs="Times New Roman"/>
          <w:color w:val="333333"/>
        </w:rPr>
        <w:br/>
        <w:t xml:space="preserve">17. We approve Reliability Standard </w:t>
      </w:r>
      <w:r w:rsidRPr="008D1F95">
        <w:rPr>
          <w:rStyle w:val="term1"/>
          <w:rFonts w:ascii="Times New Roman" w:hAnsi="Times New Roman" w:cs="Times New Roman"/>
          <w:color w:val="333333"/>
        </w:rPr>
        <w:t>FAC-013-2</w:t>
      </w:r>
      <w:r w:rsidRPr="008D1F95">
        <w:rPr>
          <w:rFonts w:ascii="Times New Roman" w:hAnsi="Times New Roman" w:cs="Times New Roman"/>
          <w:color w:val="333333"/>
        </w:rPr>
        <w:t xml:space="preserve"> and find that the standard is just, reasonable, not unduly discriminatory or preferential, and in the public interest. We also approve the proposed implementation plan for Reliability Standard </w:t>
      </w:r>
      <w:r w:rsidRPr="008D1F95">
        <w:rPr>
          <w:rStyle w:val="term1"/>
          <w:rFonts w:ascii="Times New Roman" w:hAnsi="Times New Roman" w:cs="Times New Roman"/>
          <w:color w:val="333333"/>
        </w:rPr>
        <w:t>FAC-013-2,</w:t>
      </w:r>
      <w:r w:rsidRPr="008D1F95">
        <w:rPr>
          <w:rFonts w:ascii="Times New Roman" w:hAnsi="Times New Roman" w:cs="Times New Roman"/>
          <w:color w:val="333333"/>
        </w:rPr>
        <w:t xml:space="preserve"> which would retire Reliability Standards FAC-012-1 and FAC-013-1 when </w:t>
      </w:r>
      <w:r w:rsidRPr="008D1F95">
        <w:rPr>
          <w:rStyle w:val="term1"/>
          <w:rFonts w:ascii="Times New Roman" w:hAnsi="Times New Roman" w:cs="Times New Roman"/>
          <w:color w:val="333333"/>
        </w:rPr>
        <w:t>FAC-013-2</w:t>
      </w:r>
      <w:r w:rsidRPr="008D1F95">
        <w:rPr>
          <w:rFonts w:ascii="Times New Roman" w:hAnsi="Times New Roman" w:cs="Times New Roman"/>
          <w:color w:val="333333"/>
        </w:rPr>
        <w:t xml:space="preserve"> becomes effective. We accept the addition of the terms "Near-Term Transmission Planning Horizon" and "Year One" to the NERC Glossary. Finally, we find that the proposed Reliability Standard satisfies our outstanding directives in Order Nos. 693 and 729 regarding the non-discriminatory assessment of transfer capability in the planning horizon.</w:t>
      </w:r>
    </w:p>
    <w:p w14:paraId="75E8674A" w14:textId="77777777" w:rsidR="004D737E" w:rsidRPr="008D1F95" w:rsidRDefault="004D737E" w:rsidP="004D737E">
      <w:pPr>
        <w:rPr>
          <w:rFonts w:ascii="Times New Roman" w:hAnsi="Times New Roman" w:cs="Times New Roman"/>
          <w:color w:val="333333"/>
        </w:rPr>
      </w:pPr>
      <w:r w:rsidRPr="008D1F95">
        <w:rPr>
          <w:rFonts w:ascii="Times New Roman" w:hAnsi="Times New Roman" w:cs="Times New Roman"/>
          <w:color w:val="333333"/>
        </w:rPr>
        <w:t> </w:t>
      </w:r>
      <w:r w:rsidRPr="008D1F95">
        <w:rPr>
          <w:rFonts w:ascii="Times New Roman" w:hAnsi="Times New Roman" w:cs="Times New Roman"/>
          <w:color w:val="333333"/>
        </w:rPr>
        <w:br/>
        <w:t xml:space="preserve">18. Contrary to the arguments of MISO and NYISO, we find that Reliability Standard </w:t>
      </w:r>
      <w:r w:rsidRPr="008D1F95">
        <w:rPr>
          <w:rStyle w:val="term1"/>
          <w:rFonts w:ascii="Times New Roman" w:hAnsi="Times New Roman" w:cs="Times New Roman"/>
          <w:color w:val="333333"/>
        </w:rPr>
        <w:t>FAC-013-2</w:t>
      </w:r>
      <w:r w:rsidRPr="008D1F95">
        <w:rPr>
          <w:rFonts w:ascii="Times New Roman" w:hAnsi="Times New Roman" w:cs="Times New Roman"/>
          <w:color w:val="333333"/>
        </w:rPr>
        <w:t xml:space="preserve"> provides a unique reliability benefit beyond that conferred by the TPL Standards. Reliability Standard </w:t>
      </w:r>
      <w:r w:rsidRPr="008D1F95">
        <w:rPr>
          <w:rStyle w:val="term1"/>
          <w:rFonts w:ascii="Times New Roman" w:hAnsi="Times New Roman" w:cs="Times New Roman"/>
          <w:color w:val="333333"/>
        </w:rPr>
        <w:t>FAC-013-2</w:t>
      </w:r>
      <w:r w:rsidRPr="008D1F95">
        <w:rPr>
          <w:rFonts w:ascii="Times New Roman" w:hAnsi="Times New Roman" w:cs="Times New Roman"/>
          <w:color w:val="333333"/>
        </w:rPr>
        <w:t xml:space="preserve"> is designed to ensure that planning coordinators perform annual assessments to identify potential weaknesses and limiting facilities of the bulk electric system. Such potential weaknesses and limitations could ultimately affect reliable transfers of energy. Further, in performing the required annual assessment, the planning coordinator must consider both current approved and projected transmission uses. </w:t>
      </w:r>
      <w:r w:rsidRPr="008D1F95">
        <w:rPr>
          <w:rFonts w:ascii="Times New Roman" w:hAnsi="Times New Roman" w:cs="Times New Roman"/>
          <w:color w:val="333333"/>
        </w:rPr>
        <w:br/>
        <w:t> </w:t>
      </w:r>
      <w:r w:rsidRPr="008D1F95">
        <w:rPr>
          <w:rFonts w:ascii="Times New Roman" w:hAnsi="Times New Roman" w:cs="Times New Roman"/>
          <w:color w:val="333333"/>
        </w:rPr>
        <w:br/>
        <w:t xml:space="preserve">19. By contrast, the TPL Reliability Standards set out specific performance requirements for all transmission planners (as well as planning authorities and coordinators), requiring among other things a demonstration that each transmission planner's portion of the bulk electric system is designed to maintain system stability and to stay within thermal and voltage limits, while serving forecast customer demand and all projected firm (non-recallable) reserved transmission services.   n30 Thus, the TPL Reliability Standards do not require a planning assessment that reflects all projected transmission uses but, rather, an assessment that reflects only projected </w:t>
      </w:r>
      <w:r w:rsidRPr="008D1F95">
        <w:rPr>
          <w:rFonts w:ascii="Times New Roman" w:hAnsi="Times New Roman" w:cs="Times New Roman"/>
          <w:i/>
          <w:iCs/>
          <w:color w:val="333333"/>
        </w:rPr>
        <w:t>firm reserved</w:t>
      </w:r>
      <w:r w:rsidRPr="008D1F95">
        <w:rPr>
          <w:rFonts w:ascii="Times New Roman" w:hAnsi="Times New Roman" w:cs="Times New Roman"/>
          <w:color w:val="333333"/>
        </w:rPr>
        <w:t xml:space="preserve"> transmission uses. In other words, Reliability Standard </w:t>
      </w:r>
      <w:r w:rsidRPr="008D1F95">
        <w:rPr>
          <w:rStyle w:val="term1"/>
          <w:rFonts w:ascii="Times New Roman" w:hAnsi="Times New Roman" w:cs="Times New Roman"/>
          <w:color w:val="333333"/>
        </w:rPr>
        <w:t>FAC-013-2</w:t>
      </w:r>
      <w:r w:rsidRPr="008D1F95">
        <w:rPr>
          <w:rFonts w:ascii="Times New Roman" w:hAnsi="Times New Roman" w:cs="Times New Roman"/>
          <w:color w:val="333333"/>
        </w:rPr>
        <w:t xml:space="preserve"> differs from the TPL standards because the former focuses on identifying potential weaknesses that could limit energy transfers across a broader region and requires the planning coordinator to consider any expected transmission uses, regardless of whether they have been scheduled or otherwise reserved, and thereby allows for an assessment that may be more accurate in the outer years of the planning horizon.</w:t>
      </w:r>
      <w:r w:rsidRPr="008D1F95">
        <w:rPr>
          <w:rFonts w:ascii="Times New Roman" w:hAnsi="Times New Roman" w:cs="Times New Roman"/>
          <w:color w:val="333333"/>
        </w:rPr>
        <w:br/>
      </w:r>
      <w:r w:rsidRPr="008D1F95">
        <w:rPr>
          <w:rFonts w:ascii="Times New Roman" w:hAnsi="Times New Roman" w:cs="Times New Roman"/>
          <w:color w:val="333333"/>
        </w:rPr>
        <w:br/>
        <w:t xml:space="preserve">20. As MISO and NYISO note, Reliability Standard </w:t>
      </w:r>
      <w:r w:rsidRPr="008D1F95">
        <w:rPr>
          <w:rStyle w:val="term1"/>
          <w:rFonts w:ascii="Times New Roman" w:hAnsi="Times New Roman" w:cs="Times New Roman"/>
          <w:color w:val="333333"/>
        </w:rPr>
        <w:t>FAC-013-2</w:t>
      </w:r>
      <w:r w:rsidRPr="008D1F95">
        <w:rPr>
          <w:rFonts w:ascii="Times New Roman" w:hAnsi="Times New Roman" w:cs="Times New Roman"/>
          <w:color w:val="333333"/>
        </w:rPr>
        <w:t xml:space="preserve"> does not impose an obligation to develop a plan to address identified limitations in transfer capability in the Near-Term Transmission Planning Horizon. However, the lack of such an obligation does not detract from the Reliability Standard's value as an informational tool for the early identification of inter-regional or intra-regional limitations on transfers. In Order No. 729, the Commission recognized that the calculation of transfer capabilities in the planning horizon (years one through five) may not be accurate enough to support longterm scheduling of the transmission system. n31 The Commission nonetheless determined that such forecasts would be useful "for long-term planning, in general, by measuring sufficient long-term capacity needed to ensure the reliable operation of the Bulk-Power System." n32 </w:t>
      </w:r>
      <w:r w:rsidRPr="008D1F95">
        <w:rPr>
          <w:rFonts w:ascii="Times New Roman" w:hAnsi="Times New Roman" w:cs="Times New Roman"/>
          <w:color w:val="333333"/>
        </w:rPr>
        <w:br/>
      </w:r>
      <w:r w:rsidRPr="008D1F95">
        <w:rPr>
          <w:rFonts w:ascii="Times New Roman" w:hAnsi="Times New Roman" w:cs="Times New Roman"/>
          <w:color w:val="333333"/>
        </w:rPr>
        <w:br/>
        <w:t xml:space="preserve">21. Consistent with its purpose as a planning tool with a regional focus, rather than a mechanism for ensuring </w:t>
      </w:r>
      <w:r w:rsidRPr="008D1F95">
        <w:rPr>
          <w:rFonts w:ascii="Times New Roman" w:hAnsi="Times New Roman" w:cs="Times New Roman"/>
          <w:color w:val="333333"/>
        </w:rPr>
        <w:lastRenderedPageBreak/>
        <w:t xml:space="preserve">that individual systems are planned to reliably meet projected load and known transmission uses, Reliability Standard </w:t>
      </w:r>
      <w:r w:rsidRPr="008D1F95">
        <w:rPr>
          <w:rStyle w:val="term1"/>
          <w:rFonts w:ascii="Times New Roman" w:hAnsi="Times New Roman" w:cs="Times New Roman"/>
          <w:color w:val="333333"/>
        </w:rPr>
        <w:t>FAC-013-2</w:t>
      </w:r>
      <w:r w:rsidRPr="008D1F95">
        <w:rPr>
          <w:rFonts w:ascii="Times New Roman" w:hAnsi="Times New Roman" w:cs="Times New Roman"/>
          <w:color w:val="333333"/>
        </w:rPr>
        <w:t xml:space="preserve"> provides the planning coordinator flexibility in determining what transfers to assess. Moreover, an assessment conducted pursuant to </w:t>
      </w:r>
      <w:r w:rsidRPr="008D1F95">
        <w:rPr>
          <w:rStyle w:val="term1"/>
          <w:rFonts w:ascii="Times New Roman" w:hAnsi="Times New Roman" w:cs="Times New Roman"/>
          <w:color w:val="333333"/>
        </w:rPr>
        <w:t>FAC-013-2</w:t>
      </w:r>
      <w:r w:rsidRPr="008D1F95">
        <w:rPr>
          <w:rFonts w:ascii="Times New Roman" w:hAnsi="Times New Roman" w:cs="Times New Roman"/>
          <w:color w:val="333333"/>
        </w:rPr>
        <w:t xml:space="preserve"> may include transmission uses that are expected but which are not yet scheduled or reserved (</w:t>
      </w:r>
      <w:r w:rsidRPr="008D1F95">
        <w:rPr>
          <w:rFonts w:ascii="Times New Roman" w:hAnsi="Times New Roman" w:cs="Times New Roman"/>
          <w:i/>
          <w:iCs/>
          <w:color w:val="333333"/>
        </w:rPr>
        <w:t>e.g</w:t>
      </w:r>
      <w:r w:rsidRPr="008D1F95">
        <w:rPr>
          <w:rFonts w:ascii="Times New Roman" w:hAnsi="Times New Roman" w:cs="Times New Roman"/>
          <w:color w:val="333333"/>
        </w:rPr>
        <w:t xml:space="preserve">., expected interconnection of a large group of renewable generators), and can be used as a regional coordination tool rather than as a means of ensuring adequate planning for reliable system performance. Accordingly, we find that Reliability Standard </w:t>
      </w:r>
      <w:r w:rsidRPr="008D1F95">
        <w:rPr>
          <w:rStyle w:val="term1"/>
          <w:rFonts w:ascii="Times New Roman" w:hAnsi="Times New Roman" w:cs="Times New Roman"/>
          <w:color w:val="333333"/>
        </w:rPr>
        <w:t>FAC-013-2</w:t>
      </w:r>
      <w:r w:rsidRPr="008D1F95">
        <w:rPr>
          <w:rFonts w:ascii="Times New Roman" w:hAnsi="Times New Roman" w:cs="Times New Roman"/>
          <w:color w:val="333333"/>
        </w:rPr>
        <w:t xml:space="preserve"> does confer reliability benefits beyond those provided by the TPL Reliability Standards, and we are not persuaded by the arguments of MISO and NYISO on this issue.</w:t>
      </w:r>
      <w:r w:rsidRPr="008D1F95">
        <w:rPr>
          <w:rFonts w:ascii="Times New Roman" w:hAnsi="Times New Roman" w:cs="Times New Roman"/>
          <w:color w:val="333333"/>
        </w:rPr>
        <w:br/>
        <w:t> </w:t>
      </w:r>
      <w:r w:rsidRPr="008D1F95">
        <w:rPr>
          <w:rFonts w:ascii="Times New Roman" w:hAnsi="Times New Roman" w:cs="Times New Roman"/>
          <w:color w:val="333333"/>
        </w:rPr>
        <w:br/>
        <w:t xml:space="preserve">22. We further find that Reliability Standard </w:t>
      </w:r>
      <w:r w:rsidRPr="008D1F95">
        <w:rPr>
          <w:rStyle w:val="term1"/>
          <w:rFonts w:ascii="Times New Roman" w:hAnsi="Times New Roman" w:cs="Times New Roman"/>
          <w:color w:val="333333"/>
        </w:rPr>
        <w:t>FAC-013-2</w:t>
      </w:r>
      <w:r w:rsidRPr="008D1F95">
        <w:rPr>
          <w:rFonts w:ascii="Times New Roman" w:hAnsi="Times New Roman" w:cs="Times New Roman"/>
          <w:color w:val="333333"/>
        </w:rPr>
        <w:t xml:space="preserve"> satisfies certain outstanding directives from Order Nos. 693 and 729 which are not satisfied by the TPL Reliability Standards. Reliability Standard </w:t>
      </w:r>
      <w:r w:rsidRPr="008D1F95">
        <w:rPr>
          <w:rStyle w:val="term1"/>
          <w:rFonts w:ascii="Times New Roman" w:hAnsi="Times New Roman" w:cs="Times New Roman"/>
          <w:color w:val="333333"/>
        </w:rPr>
        <w:t>FAC-013-2</w:t>
      </w:r>
      <w:r w:rsidRPr="008D1F95">
        <w:rPr>
          <w:rFonts w:ascii="Times New Roman" w:hAnsi="Times New Roman" w:cs="Times New Roman"/>
          <w:color w:val="333333"/>
        </w:rPr>
        <w:t xml:space="preserve"> requires the planning coordinator to perform an annual assessment of transfer capability for at least one year in the Near-Term Transmission Planning Horizon, and to document that the assumptions and criteria used to perform the assessment are consistent with the planning coordinator's planning practices. By contrast, the TPL Reliability Standards impose system performance requirements under various conditions, and do not require a specific assessment of transfer capabilities within a single system or across interconnected transmission systems. while we agree that Reliability Standard </w:t>
      </w:r>
      <w:r w:rsidRPr="008D1F95">
        <w:rPr>
          <w:rStyle w:val="term1"/>
          <w:rFonts w:ascii="Times New Roman" w:hAnsi="Times New Roman" w:cs="Times New Roman"/>
          <w:color w:val="333333"/>
        </w:rPr>
        <w:t>FAC-013-2</w:t>
      </w:r>
      <w:r w:rsidRPr="008D1F95">
        <w:rPr>
          <w:rFonts w:ascii="Times New Roman" w:hAnsi="Times New Roman" w:cs="Times New Roman"/>
          <w:color w:val="333333"/>
        </w:rPr>
        <w:t xml:space="preserve"> and the TPL Reliability Standards are designed primarily to encourage adequate longer-term planning rather than to generate accurate measures of ATC or total transfer capability (TTC), we believe that our outstanding directives regarding the review of transfer capability within the planning horizon are not satisfied by the TPL Reliability Standards.</w:t>
      </w:r>
      <w:r w:rsidRPr="008D1F95">
        <w:rPr>
          <w:rFonts w:ascii="Times New Roman" w:hAnsi="Times New Roman" w:cs="Times New Roman"/>
          <w:color w:val="333333"/>
        </w:rPr>
        <w:br/>
      </w:r>
      <w:r w:rsidRPr="008D1F95">
        <w:rPr>
          <w:rFonts w:ascii="Times New Roman" w:hAnsi="Times New Roman" w:cs="Times New Roman"/>
          <w:color w:val="333333"/>
        </w:rPr>
        <w:br/>
      </w:r>
      <w:r w:rsidRPr="008D1F95">
        <w:rPr>
          <w:rFonts w:ascii="Times New Roman" w:hAnsi="Times New Roman" w:cs="Times New Roman"/>
          <w:b/>
          <w:bCs/>
          <w:color w:val="333333"/>
        </w:rPr>
        <w:t>B. Violation Risk Factors and Violation Severity Levels</w:t>
      </w:r>
      <w:r w:rsidRPr="008D1F95">
        <w:rPr>
          <w:rFonts w:ascii="Times New Roman" w:hAnsi="Times New Roman" w:cs="Times New Roman"/>
          <w:color w:val="333333"/>
        </w:rPr>
        <w:br/>
        <w:t> </w:t>
      </w:r>
      <w:r w:rsidRPr="008D1F95">
        <w:rPr>
          <w:rFonts w:ascii="Times New Roman" w:hAnsi="Times New Roman" w:cs="Times New Roman"/>
          <w:color w:val="333333"/>
        </w:rPr>
        <w:br/>
        <w:t>23. We find that the violation risk factors (VRFs) assigned to Requirements R2, R3, R5 and R6 are consistent with the Commission's established guidelines and approve them as filed. n33 However, we find that NERC has not adequately justified its proposed "lower" VRF designation for Requirements R1 and R4, and direct NERC to either provide additional justification for these VRF designations or propose a revised VRF designation that addresses our concerns.</w:t>
      </w:r>
      <w:r w:rsidRPr="008D1F95">
        <w:rPr>
          <w:rFonts w:ascii="Times New Roman" w:hAnsi="Times New Roman" w:cs="Times New Roman"/>
          <w:color w:val="333333"/>
        </w:rPr>
        <w:br/>
      </w:r>
      <w:r w:rsidRPr="008D1F95">
        <w:rPr>
          <w:rFonts w:ascii="Times New Roman" w:hAnsi="Times New Roman" w:cs="Times New Roman"/>
          <w:color w:val="333333"/>
        </w:rPr>
        <w:br/>
      </w:r>
      <w:r w:rsidRPr="008D1F95">
        <w:rPr>
          <w:rStyle w:val="pmterms21"/>
          <w:rFonts w:ascii="Times New Roman" w:hAnsi="Times New Roman" w:cs="Times New Roman"/>
        </w:rPr>
        <w:t>[**22]</w:t>
      </w:r>
      <w:bookmarkStart w:id="7" w:name="2230-22"/>
      <w:bookmarkEnd w:id="7"/>
      <w:r w:rsidRPr="008D1F95">
        <w:rPr>
          <w:rFonts w:ascii="Times New Roman" w:hAnsi="Times New Roman" w:cs="Times New Roman"/>
          <w:color w:val="333333"/>
        </w:rPr>
        <w:t> </w:t>
      </w:r>
      <w:r w:rsidRPr="008D1F95">
        <w:rPr>
          <w:rFonts w:ascii="Times New Roman" w:hAnsi="Times New Roman" w:cs="Times New Roman"/>
          <w:color w:val="333333"/>
        </w:rPr>
        <w:br/>
        <w:t> </w:t>
      </w:r>
      <w:r w:rsidRPr="008D1F95">
        <w:rPr>
          <w:rFonts w:ascii="Times New Roman" w:hAnsi="Times New Roman" w:cs="Times New Roman"/>
          <w:color w:val="333333"/>
        </w:rPr>
        <w:br/>
        <w:t xml:space="preserve">24. NERC states that Requirements R1 and R4 meet the definition of a "lower" risk requirement because they are "strictly administrative in nature and are in the planning timeframe," and because "it is not anticipated that under emergency, abnormal or restorative conditions violation of this requirement would affect the electric state or capability of the BES." n34 </w:t>
      </w:r>
      <w:r w:rsidRPr="008D1F95">
        <w:rPr>
          <w:rFonts w:ascii="Times New Roman" w:hAnsi="Times New Roman" w:cs="Times New Roman"/>
          <w:color w:val="333333"/>
        </w:rPr>
        <w:br/>
      </w:r>
      <w:r w:rsidRPr="008D1F95">
        <w:rPr>
          <w:rFonts w:ascii="Times New Roman" w:hAnsi="Times New Roman" w:cs="Times New Roman"/>
          <w:color w:val="333333"/>
        </w:rPr>
        <w:br/>
        <w:t xml:space="preserve">n34 NERC Petition at 33-34. The approved NERC definition for a "lower" VRF designation is as follows: </w:t>
      </w:r>
    </w:p>
    <w:p w14:paraId="6FCF6815" w14:textId="77777777" w:rsidR="004D737E" w:rsidRPr="008D1F95" w:rsidRDefault="004D737E" w:rsidP="004D737E">
      <w:pPr>
        <w:rPr>
          <w:rFonts w:ascii="Times New Roman" w:hAnsi="Times New Roman" w:cs="Times New Roman"/>
          <w:color w:val="333333"/>
        </w:rPr>
      </w:pPr>
      <w:r w:rsidRPr="008D1F95">
        <w:rPr>
          <w:rFonts w:ascii="Times New Roman" w:hAnsi="Times New Roman" w:cs="Times New Roman"/>
          <w:color w:val="333333"/>
        </w:rPr>
        <w:t>Lower Risk Requirement: is administrative in nature and (a) is a requirement that, if violated, would not be expected to affect the electrical state or capability of the Bulk-Power System, or the ability to effectively monitor and control the Bulk-Power System; or (b) is a requirement in a planning time frame that, if violated, would not, under the emergency, abnormal, or restorative conditions anticipated by the preparations, be expected to affect the electrical state or capability of the Bulk-Power System, or the ability to effectively monitor, control, or restore the Bulk-Power System.</w:t>
      </w:r>
    </w:p>
    <w:p w14:paraId="02D8E48B" w14:textId="77777777" w:rsidR="004D737E" w:rsidRPr="008D1F95" w:rsidRDefault="004D737E" w:rsidP="004D737E">
      <w:pPr>
        <w:rPr>
          <w:rFonts w:ascii="Times New Roman" w:hAnsi="Times New Roman" w:cs="Times New Roman"/>
          <w:color w:val="333333"/>
        </w:rPr>
      </w:pPr>
      <w:r w:rsidRPr="008D1F95">
        <w:rPr>
          <w:rFonts w:ascii="Times New Roman" w:hAnsi="Times New Roman" w:cs="Times New Roman"/>
          <w:color w:val="333333"/>
        </w:rPr>
        <w:lastRenderedPageBreak/>
        <w:br/>
      </w:r>
      <w:r w:rsidRPr="008D1F95">
        <w:rPr>
          <w:rFonts w:ascii="Times New Roman" w:hAnsi="Times New Roman" w:cs="Times New Roman"/>
          <w:color w:val="333333"/>
        </w:rPr>
        <w:br/>
        <w:t>25. Requirement R4 does not appear to be "administrative in nature," in that it requires the planning coordinator to annually conduct a simulation assessing transfer capability on its system during at least one year in the near-term planning time frame. Requirement R4 requires an affirmative action by the applicable entity, and not merely documentation of the results of the study.</w:t>
      </w:r>
      <w:r w:rsidRPr="008D1F95">
        <w:rPr>
          <w:rFonts w:ascii="Times New Roman" w:hAnsi="Times New Roman" w:cs="Times New Roman"/>
          <w:color w:val="333333"/>
        </w:rPr>
        <w:br/>
        <w:t> </w:t>
      </w:r>
      <w:r w:rsidRPr="008D1F95">
        <w:rPr>
          <w:rFonts w:ascii="Times New Roman" w:hAnsi="Times New Roman" w:cs="Times New Roman"/>
          <w:color w:val="333333"/>
        </w:rPr>
        <w:br/>
        <w:t>26. We have similar concerns with respect to R1, as it is a substantive requirement to adopt and document a methodology for assessing transfer capability that is consistent with the specific criteria set out in sub-requirements R1.1.2 -- 1.5. This requirement goes further than mere documentation, and instead establishes the criteria that must be incorporated into a compliant methodology.</w:t>
      </w:r>
      <w:r w:rsidRPr="008D1F95">
        <w:rPr>
          <w:rFonts w:ascii="Times New Roman" w:hAnsi="Times New Roman" w:cs="Times New Roman"/>
          <w:color w:val="333333"/>
        </w:rPr>
        <w:br/>
        <w:t> </w:t>
      </w:r>
      <w:r w:rsidRPr="008D1F95">
        <w:rPr>
          <w:rFonts w:ascii="Times New Roman" w:hAnsi="Times New Roman" w:cs="Times New Roman"/>
          <w:color w:val="333333"/>
        </w:rPr>
        <w:br/>
        <w:t xml:space="preserve">27. Finally, we approve the violation severity levels (VSLs) for </w:t>
      </w:r>
      <w:r w:rsidRPr="008D1F95">
        <w:rPr>
          <w:rStyle w:val="term1"/>
          <w:rFonts w:ascii="Times New Roman" w:hAnsi="Times New Roman" w:cs="Times New Roman"/>
          <w:color w:val="333333"/>
        </w:rPr>
        <w:t>FAC-013-2</w:t>
      </w:r>
      <w:r w:rsidRPr="008D1F95">
        <w:rPr>
          <w:rFonts w:ascii="Times New Roman" w:hAnsi="Times New Roman" w:cs="Times New Roman"/>
          <w:color w:val="333333"/>
        </w:rPr>
        <w:t xml:space="preserve"> as proposed, with the exception of the VSL triggers for R1, which appear to contain a typographical error. The VSL language for R1, as filed by NERC, uses the same description for "medium," "high," and "severe" violations, as follows: </w:t>
      </w:r>
    </w:p>
    <w:p w14:paraId="55C46629" w14:textId="77777777" w:rsidR="004D737E" w:rsidRPr="008D1F95" w:rsidRDefault="004D737E" w:rsidP="004D737E">
      <w:pPr>
        <w:rPr>
          <w:rFonts w:ascii="Times New Roman" w:hAnsi="Times New Roman" w:cs="Times New Roman"/>
          <w:color w:val="333333"/>
        </w:rPr>
      </w:pPr>
      <w:r w:rsidRPr="008D1F95">
        <w:rPr>
          <w:rFonts w:ascii="Times New Roman" w:hAnsi="Times New Roman" w:cs="Times New Roman"/>
          <w:color w:val="333333"/>
        </w:rPr>
        <w:t>The Planning Coordinator has a Transfer Capability methodology, but failed to incorporate one of [sub-requirements 1.1 through 1.5] of Requirement R1 into that methodology.</w:t>
      </w:r>
    </w:p>
    <w:p w14:paraId="6A901F8A" w14:textId="77777777" w:rsidR="004D737E" w:rsidRPr="008D1F95" w:rsidRDefault="004D737E" w:rsidP="004D737E">
      <w:pPr>
        <w:spacing w:after="240"/>
        <w:rPr>
          <w:rFonts w:ascii="Times New Roman" w:hAnsi="Times New Roman" w:cs="Times New Roman"/>
          <w:color w:val="1F497D"/>
        </w:rPr>
      </w:pPr>
      <w:r w:rsidRPr="008D1F95">
        <w:rPr>
          <w:rFonts w:ascii="Times New Roman" w:hAnsi="Times New Roman" w:cs="Times New Roman"/>
          <w:color w:val="333333"/>
        </w:rPr>
        <w:br/>
        <w:t xml:space="preserve">It appears that these triggers were intended to be progressive, i.e., the failure to incorporate one component was intended to be a medium level violation, as is currently stated in NERC's filed version of </w:t>
      </w:r>
      <w:r w:rsidRPr="008D1F95">
        <w:rPr>
          <w:rStyle w:val="term1"/>
          <w:rFonts w:ascii="Times New Roman" w:hAnsi="Times New Roman" w:cs="Times New Roman"/>
          <w:color w:val="333333"/>
        </w:rPr>
        <w:t>FAC-013-2,</w:t>
      </w:r>
      <w:r w:rsidRPr="008D1F95">
        <w:rPr>
          <w:rFonts w:ascii="Times New Roman" w:hAnsi="Times New Roman" w:cs="Times New Roman"/>
          <w:color w:val="333333"/>
        </w:rPr>
        <w:t xml:space="preserve"> but a high level violation should require a failure to incorporate two components, and so on. Accordingly, we will direct NERC to modify the VSL language for Requirement R1 to correct this apparent error.</w:t>
      </w:r>
      <w:r w:rsidRPr="008D1F95">
        <w:rPr>
          <w:rFonts w:ascii="Times New Roman" w:hAnsi="Times New Roman" w:cs="Times New Roman"/>
          <w:color w:val="333333"/>
        </w:rPr>
        <w:br/>
        <w:t> </w:t>
      </w:r>
      <w:r w:rsidRPr="008D1F95">
        <w:rPr>
          <w:rFonts w:ascii="Times New Roman" w:hAnsi="Times New Roman" w:cs="Times New Roman"/>
          <w:color w:val="333333"/>
        </w:rPr>
        <w:br/>
        <w:t>28. For the reasons stated above, we direct NERC to submit a compliance filing within 60 days of issuance of this order, that (1) either proposes a "medium" VRF designation for Requirements R1 and R4, or provides additional justification for a "lower" VRF level; and (2) corrects the proposed VSL language for R1.</w:t>
      </w:r>
      <w:r w:rsidRPr="008D1F95">
        <w:rPr>
          <w:rFonts w:ascii="Times New Roman" w:hAnsi="Times New Roman" w:cs="Times New Roman"/>
          <w:color w:val="333333"/>
        </w:rPr>
        <w:br/>
      </w:r>
      <w:r w:rsidRPr="008D1F95">
        <w:rPr>
          <w:rFonts w:ascii="Times New Roman" w:hAnsi="Times New Roman" w:cs="Times New Roman"/>
          <w:color w:val="333333"/>
        </w:rPr>
        <w:br/>
      </w:r>
      <w:r w:rsidRPr="008D1F95">
        <w:rPr>
          <w:rFonts w:ascii="Times New Roman" w:hAnsi="Times New Roman" w:cs="Times New Roman"/>
          <w:b/>
          <w:bCs/>
          <w:color w:val="333333"/>
        </w:rPr>
        <w:t>C. Applicability to ERCOT</w:t>
      </w:r>
      <w:r w:rsidRPr="008D1F95">
        <w:rPr>
          <w:rFonts w:ascii="Times New Roman" w:hAnsi="Times New Roman" w:cs="Times New Roman"/>
          <w:color w:val="333333"/>
        </w:rPr>
        <w:br/>
        <w:t> </w:t>
      </w:r>
      <w:r w:rsidRPr="008D1F95">
        <w:rPr>
          <w:rFonts w:ascii="Times New Roman" w:hAnsi="Times New Roman" w:cs="Times New Roman"/>
          <w:color w:val="333333"/>
        </w:rPr>
        <w:br/>
        <w:t xml:space="preserve">29. For the reasons discussed below, we are not persuaded by ERCOT's arguments and, therefore, deny ERCOT's request for an exemption. ERCOT points out that the Commission granted an exemption to ERCOT regarding certain modeling, data and analysis, or MOD, Reliability Standards and believes that the Commission should grant ERCOT a similar exemption regarding compliance with </w:t>
      </w:r>
      <w:r w:rsidRPr="008D1F95">
        <w:rPr>
          <w:rStyle w:val="term1"/>
          <w:rFonts w:ascii="Times New Roman" w:hAnsi="Times New Roman" w:cs="Times New Roman"/>
          <w:color w:val="333333"/>
        </w:rPr>
        <w:t>FAC-013-2.</w:t>
      </w:r>
      <w:r w:rsidRPr="008D1F95">
        <w:rPr>
          <w:rFonts w:ascii="Times New Roman" w:hAnsi="Times New Roman" w:cs="Times New Roman"/>
          <w:color w:val="333333"/>
        </w:rPr>
        <w:t xml:space="preserve"> Reliability Standard </w:t>
      </w:r>
      <w:r w:rsidRPr="008D1F95">
        <w:rPr>
          <w:rStyle w:val="term1"/>
          <w:rFonts w:ascii="Times New Roman" w:hAnsi="Times New Roman" w:cs="Times New Roman"/>
          <w:color w:val="333333"/>
        </w:rPr>
        <w:t>FAC-013-2,</w:t>
      </w:r>
      <w:r w:rsidRPr="008D1F95">
        <w:rPr>
          <w:rFonts w:ascii="Times New Roman" w:hAnsi="Times New Roman" w:cs="Times New Roman"/>
          <w:color w:val="333333"/>
        </w:rPr>
        <w:t xml:space="preserve"> however, is distinguishable from the MOD Reliability Standards because the MOD Reliability Standards address methodologies for calculating ATC and total transfer capability (TTC) for the purpose of allocating transmission capacity. In Order No. 729, the Commission agreed that the MOD Reliability Standards would not provide any reliability benefit to ERCOT due to physical differences in ERCOT's transmission system. n35 </w:t>
      </w:r>
      <w:r w:rsidRPr="008D1F95">
        <w:rPr>
          <w:rFonts w:ascii="Times New Roman" w:hAnsi="Times New Roman" w:cs="Times New Roman"/>
          <w:color w:val="333333"/>
        </w:rPr>
        <w:br/>
      </w:r>
      <w:r w:rsidRPr="008D1F95">
        <w:rPr>
          <w:rFonts w:ascii="Times New Roman" w:hAnsi="Times New Roman" w:cs="Times New Roman"/>
          <w:color w:val="333333"/>
        </w:rPr>
        <w:br/>
        <w:t xml:space="preserve">30. In contrast to the MOD Reliability Standards, </w:t>
      </w:r>
      <w:r w:rsidRPr="008D1F95">
        <w:rPr>
          <w:rStyle w:val="term1"/>
          <w:rFonts w:ascii="Times New Roman" w:hAnsi="Times New Roman" w:cs="Times New Roman"/>
          <w:color w:val="333333"/>
        </w:rPr>
        <w:t>FAC-013-2</w:t>
      </w:r>
      <w:r w:rsidRPr="008D1F95">
        <w:rPr>
          <w:rFonts w:ascii="Times New Roman" w:hAnsi="Times New Roman" w:cs="Times New Roman"/>
          <w:color w:val="333333"/>
        </w:rPr>
        <w:t xml:space="preserve"> is not designed primarily to ensure non-discriminatory allocation of transmission capacity among transmission market participants, but is instead a planning tool, with a particular focus on identifying weaknesses or limitations in transfer capability between regions (including constrained regions within a single market such as ERCOT). We believe ERCOT, like other regions, will benefit from the assessment of potential limitations in transfer capability in the planning horizon over the Near-Term Transmission Planning Horizon that is required under </w:t>
      </w:r>
      <w:r w:rsidRPr="008D1F95">
        <w:rPr>
          <w:rStyle w:val="term1"/>
          <w:rFonts w:ascii="Times New Roman" w:hAnsi="Times New Roman" w:cs="Times New Roman"/>
          <w:color w:val="333333"/>
        </w:rPr>
        <w:t>FAC-013-2.</w:t>
      </w:r>
      <w:r w:rsidRPr="008D1F95">
        <w:rPr>
          <w:rFonts w:ascii="Times New Roman" w:hAnsi="Times New Roman" w:cs="Times New Roman"/>
          <w:color w:val="333333"/>
        </w:rPr>
        <w:br/>
      </w:r>
      <w:r w:rsidRPr="008D1F95">
        <w:rPr>
          <w:rFonts w:ascii="Times New Roman" w:hAnsi="Times New Roman" w:cs="Times New Roman"/>
          <w:color w:val="333333"/>
        </w:rPr>
        <w:lastRenderedPageBreak/>
        <w:t> </w:t>
      </w:r>
      <w:r w:rsidRPr="008D1F95">
        <w:rPr>
          <w:rFonts w:ascii="Times New Roman" w:hAnsi="Times New Roman" w:cs="Times New Roman"/>
          <w:color w:val="333333"/>
        </w:rPr>
        <w:br/>
        <w:t>31. Moreover, ERCOT concedes that it currently has a planning process in place that allows it to address "prospective weaknesses and limiting facilities that may arise under all probable prospective operating conditions." n36 That ERCOT already undertakes these kinds of planning assessments leads to the conclusion that such assessments are in fact useful to ERCOT. Incorporating an obligation to continue performing such an assessment as part of a mandatory and enforceable Reliability Standard, especially one that will provide for greater levels of transparency as to how the assessments are done, will not only provide a meaningful reliability benefit but also would presumably impose little additional burden on ERCOT.</w:t>
      </w:r>
    </w:p>
    <w:p w14:paraId="3616F083" w14:textId="77777777" w:rsidR="00CC7E3E" w:rsidRPr="00501FCB" w:rsidRDefault="00CC7E3E" w:rsidP="00CC7E3E">
      <w:pPr>
        <w:rPr>
          <w:rFonts w:ascii="Times New Roman" w:hAnsi="Times New Roman" w:cs="Times New Roman"/>
          <w:b/>
          <w:color w:val="auto"/>
          <w:u w:val="single"/>
          <w14:shadow w14:blurRad="50800" w14:dist="38100" w14:dir="2700000" w14:sx="100000" w14:sy="100000" w14:kx="0" w14:ky="0" w14:algn="tl">
            <w14:srgbClr w14:val="000000">
              <w14:alpha w14:val="60000"/>
            </w14:srgbClr>
          </w14:shadow>
        </w:rPr>
      </w:pPr>
    </w:p>
    <w:p w14:paraId="2915A357" w14:textId="77777777" w:rsidR="003F1BDF" w:rsidRPr="00501FCB" w:rsidRDefault="003F1BDF" w:rsidP="00CC7E3E">
      <w:pPr>
        <w:rPr>
          <w:rFonts w:ascii="Calibri" w:hAnsi="Calibri"/>
          <w:b/>
          <w:color w:val="auto"/>
          <w:u w:val="single"/>
          <w14:shadow w14:blurRad="50800" w14:dist="38100" w14:dir="2700000" w14:sx="100000" w14:sy="100000" w14:kx="0" w14:ky="0" w14:algn="tl">
            <w14:srgbClr w14:val="000000">
              <w14:alpha w14:val="60000"/>
            </w14:srgbClr>
          </w14:shadow>
        </w:rPr>
      </w:pPr>
    </w:p>
    <w:p w14:paraId="3E27FA9A" w14:textId="77777777" w:rsidR="003F1BDF" w:rsidRPr="00840537" w:rsidRDefault="003F1BDF" w:rsidP="003F1BDF">
      <w:pPr>
        <w:rPr>
          <w:rFonts w:ascii="Calibri" w:hAnsi="Calibri" w:cs="Tahoma"/>
          <w:b/>
          <w:color w:val="auto"/>
          <w:spacing w:val="15"/>
          <w:u w:val="single"/>
        </w:rPr>
      </w:pPr>
      <w:r w:rsidRPr="00840537">
        <w:rPr>
          <w:rFonts w:ascii="Calibri" w:hAnsi="Calibri" w:cs="Tahoma"/>
          <w:b/>
          <w:color w:val="auto"/>
          <w:spacing w:val="15"/>
          <w:u w:val="single"/>
        </w:rPr>
        <w:t>Revision History</w:t>
      </w:r>
    </w:p>
    <w:p w14:paraId="1EC5B00D" w14:textId="77777777" w:rsidR="003F1BDF" w:rsidRDefault="003F1BDF" w:rsidP="003F1BDF">
      <w:pPr>
        <w:rPr>
          <w:rFonts w:ascii="Times New Roman" w:hAnsi="Times New Roman" w:cs="Times New Roman"/>
          <w:b/>
        </w:rPr>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4860"/>
        <w:gridCol w:w="2250"/>
      </w:tblGrid>
      <w:tr w:rsidR="003F1BDF" w:rsidRPr="00275FE1" w14:paraId="159F154F" w14:textId="77777777" w:rsidTr="00840537">
        <w:trPr>
          <w:trHeight w:val="476"/>
        </w:trPr>
        <w:tc>
          <w:tcPr>
            <w:tcW w:w="1530" w:type="dxa"/>
            <w:shd w:val="clear" w:color="auto" w:fill="E0E0E0"/>
            <w:vAlign w:val="center"/>
          </w:tcPr>
          <w:p w14:paraId="20FFAEDA" w14:textId="77777777" w:rsidR="003F1BDF" w:rsidRPr="00275FE1" w:rsidRDefault="003F1BDF" w:rsidP="003F1BDF">
            <w:pPr>
              <w:overflowPunct w:val="0"/>
              <w:jc w:val="center"/>
              <w:textAlignment w:val="baseline"/>
              <w:rPr>
                <w:b/>
                <w:caps/>
              </w:rPr>
            </w:pPr>
            <w:r>
              <w:rPr>
                <w:b/>
                <w:caps/>
              </w:rPr>
              <w:t xml:space="preserve">REVISION </w:t>
            </w:r>
            <w:r w:rsidRPr="00275FE1">
              <w:rPr>
                <w:b/>
                <w:caps/>
              </w:rPr>
              <w:t>DATE</w:t>
            </w:r>
          </w:p>
        </w:tc>
        <w:tc>
          <w:tcPr>
            <w:tcW w:w="4860" w:type="dxa"/>
            <w:shd w:val="clear" w:color="auto" w:fill="E0E0E0"/>
            <w:vAlign w:val="center"/>
          </w:tcPr>
          <w:p w14:paraId="0BE3A9A8" w14:textId="77777777" w:rsidR="003F1BDF" w:rsidRPr="00275FE1" w:rsidRDefault="003F1BDF" w:rsidP="003F1BDF">
            <w:pPr>
              <w:overflowPunct w:val="0"/>
              <w:jc w:val="center"/>
              <w:textAlignment w:val="baseline"/>
              <w:rPr>
                <w:b/>
                <w:caps/>
              </w:rPr>
            </w:pPr>
            <w:r>
              <w:rPr>
                <w:b/>
                <w:caps/>
              </w:rPr>
              <w:t>REVISION DETAILS</w:t>
            </w:r>
          </w:p>
        </w:tc>
        <w:tc>
          <w:tcPr>
            <w:tcW w:w="2250" w:type="dxa"/>
            <w:shd w:val="clear" w:color="auto" w:fill="E0E0E0"/>
            <w:vAlign w:val="center"/>
          </w:tcPr>
          <w:p w14:paraId="37F037F2" w14:textId="77777777" w:rsidR="003F1BDF" w:rsidRPr="00275FE1" w:rsidRDefault="003F1BDF" w:rsidP="003F1BDF">
            <w:pPr>
              <w:overflowPunct w:val="0"/>
              <w:jc w:val="center"/>
              <w:textAlignment w:val="baseline"/>
              <w:rPr>
                <w:b/>
                <w:caps/>
              </w:rPr>
            </w:pPr>
            <w:r>
              <w:rPr>
                <w:b/>
                <w:caps/>
              </w:rPr>
              <w:t>REVISED BY</w:t>
            </w:r>
          </w:p>
        </w:tc>
      </w:tr>
      <w:tr w:rsidR="003F1BDF" w:rsidRPr="002E4AF7" w14:paraId="29E6784B" w14:textId="77777777" w:rsidTr="00840537">
        <w:trPr>
          <w:trHeight w:val="432"/>
        </w:trPr>
        <w:tc>
          <w:tcPr>
            <w:tcW w:w="1530" w:type="dxa"/>
            <w:vAlign w:val="center"/>
          </w:tcPr>
          <w:p w14:paraId="13013BBD" w14:textId="77777777" w:rsidR="003F1BDF" w:rsidRPr="002E4AF7" w:rsidRDefault="003F1BDF" w:rsidP="003F1BDF">
            <w:pPr>
              <w:overflowPunct w:val="0"/>
              <w:textAlignment w:val="baseline"/>
            </w:pPr>
            <w:r>
              <w:t>08/02/12</w:t>
            </w:r>
          </w:p>
        </w:tc>
        <w:tc>
          <w:tcPr>
            <w:tcW w:w="4860" w:type="dxa"/>
            <w:vAlign w:val="center"/>
          </w:tcPr>
          <w:p w14:paraId="315D7271" w14:textId="77777777" w:rsidR="003F1BDF" w:rsidRPr="002E4AF7" w:rsidRDefault="003F1BDF" w:rsidP="003F1BDF">
            <w:pPr>
              <w:overflowPunct w:val="0"/>
              <w:textAlignment w:val="baseline"/>
            </w:pPr>
            <w:r>
              <w:t>New RSAW</w:t>
            </w:r>
          </w:p>
        </w:tc>
        <w:tc>
          <w:tcPr>
            <w:tcW w:w="2250" w:type="dxa"/>
            <w:vAlign w:val="center"/>
          </w:tcPr>
          <w:p w14:paraId="68FC160A" w14:textId="77777777" w:rsidR="003F1BDF" w:rsidRPr="002E4AF7" w:rsidRDefault="003F1BDF" w:rsidP="003F1BDF">
            <w:pPr>
              <w:overflowPunct w:val="0"/>
              <w:textAlignment w:val="baseline"/>
            </w:pPr>
            <w:r>
              <w:t>RSAW WG</w:t>
            </w:r>
          </w:p>
        </w:tc>
      </w:tr>
      <w:tr w:rsidR="003F1BDF" w:rsidRPr="002E4AF7" w14:paraId="5D63E31A" w14:textId="77777777" w:rsidTr="00840537">
        <w:trPr>
          <w:trHeight w:val="432"/>
        </w:trPr>
        <w:tc>
          <w:tcPr>
            <w:tcW w:w="1530" w:type="dxa"/>
            <w:vAlign w:val="center"/>
          </w:tcPr>
          <w:p w14:paraId="09A195FD" w14:textId="77777777" w:rsidR="003F1BDF" w:rsidRPr="00EB2DDC" w:rsidRDefault="008D1F95" w:rsidP="003F1BDF">
            <w:pPr>
              <w:overflowPunct w:val="0"/>
              <w:textAlignment w:val="baseline"/>
            </w:pPr>
            <w:r>
              <w:t>10/04/2012</w:t>
            </w:r>
          </w:p>
        </w:tc>
        <w:tc>
          <w:tcPr>
            <w:tcW w:w="4860" w:type="dxa"/>
            <w:vAlign w:val="center"/>
          </w:tcPr>
          <w:p w14:paraId="1703BBFE" w14:textId="77777777" w:rsidR="003F1BDF" w:rsidRPr="002E4AF7" w:rsidRDefault="00376F63" w:rsidP="008D1F95">
            <w:pPr>
              <w:overflowPunct w:val="0"/>
              <w:textAlignment w:val="baseline"/>
            </w:pPr>
            <w:r>
              <w:t>Regulatory language updated</w:t>
            </w:r>
          </w:p>
        </w:tc>
        <w:tc>
          <w:tcPr>
            <w:tcW w:w="2250" w:type="dxa"/>
            <w:vAlign w:val="center"/>
          </w:tcPr>
          <w:p w14:paraId="054FB1C7" w14:textId="77777777" w:rsidR="003F1BDF" w:rsidRPr="002E4AF7" w:rsidRDefault="008D1F95" w:rsidP="003F1BDF">
            <w:pPr>
              <w:overflowPunct w:val="0"/>
              <w:textAlignment w:val="baseline"/>
            </w:pPr>
            <w:r>
              <w:t>NERC LEGAL</w:t>
            </w:r>
          </w:p>
        </w:tc>
      </w:tr>
      <w:tr w:rsidR="003F1BDF" w:rsidRPr="002E4AF7" w14:paraId="60B80AF8" w14:textId="77777777" w:rsidTr="00840537">
        <w:trPr>
          <w:trHeight w:val="432"/>
        </w:trPr>
        <w:tc>
          <w:tcPr>
            <w:tcW w:w="1530" w:type="dxa"/>
            <w:vAlign w:val="center"/>
          </w:tcPr>
          <w:p w14:paraId="5C0C450B" w14:textId="77777777" w:rsidR="003F1BDF" w:rsidRPr="00EB2DDC" w:rsidRDefault="003F1BDF" w:rsidP="003F1BDF">
            <w:pPr>
              <w:overflowPunct w:val="0"/>
              <w:textAlignment w:val="baseline"/>
            </w:pPr>
          </w:p>
        </w:tc>
        <w:tc>
          <w:tcPr>
            <w:tcW w:w="4860" w:type="dxa"/>
            <w:vAlign w:val="center"/>
          </w:tcPr>
          <w:p w14:paraId="5DC1A6B6" w14:textId="77777777" w:rsidR="003F1BDF" w:rsidRPr="002E4AF7" w:rsidRDefault="003F1BDF" w:rsidP="003F1BDF">
            <w:pPr>
              <w:overflowPunct w:val="0"/>
              <w:textAlignment w:val="baseline"/>
            </w:pPr>
          </w:p>
        </w:tc>
        <w:tc>
          <w:tcPr>
            <w:tcW w:w="2250" w:type="dxa"/>
            <w:vAlign w:val="center"/>
          </w:tcPr>
          <w:p w14:paraId="69258DA6" w14:textId="77777777" w:rsidR="003F1BDF" w:rsidRPr="002E4AF7" w:rsidRDefault="003F1BDF" w:rsidP="003F1BDF">
            <w:pPr>
              <w:overflowPunct w:val="0"/>
              <w:textAlignment w:val="baseline"/>
            </w:pPr>
          </w:p>
        </w:tc>
      </w:tr>
      <w:tr w:rsidR="003F1BDF" w:rsidRPr="002E4AF7" w14:paraId="44413A3F" w14:textId="77777777" w:rsidTr="00840537">
        <w:trPr>
          <w:trHeight w:val="432"/>
        </w:trPr>
        <w:tc>
          <w:tcPr>
            <w:tcW w:w="1530" w:type="dxa"/>
            <w:vAlign w:val="center"/>
          </w:tcPr>
          <w:p w14:paraId="0F89BAFE" w14:textId="77777777" w:rsidR="003F1BDF" w:rsidRPr="00EB2DDC" w:rsidRDefault="003F1BDF" w:rsidP="003F1BDF">
            <w:pPr>
              <w:overflowPunct w:val="0"/>
              <w:textAlignment w:val="baseline"/>
            </w:pPr>
          </w:p>
        </w:tc>
        <w:tc>
          <w:tcPr>
            <w:tcW w:w="4860" w:type="dxa"/>
            <w:vAlign w:val="center"/>
          </w:tcPr>
          <w:p w14:paraId="31D74F28" w14:textId="77777777" w:rsidR="003F1BDF" w:rsidRPr="002E4AF7" w:rsidRDefault="003F1BDF" w:rsidP="003F1BDF">
            <w:pPr>
              <w:overflowPunct w:val="0"/>
              <w:textAlignment w:val="baseline"/>
            </w:pPr>
          </w:p>
        </w:tc>
        <w:tc>
          <w:tcPr>
            <w:tcW w:w="2250" w:type="dxa"/>
            <w:vAlign w:val="center"/>
          </w:tcPr>
          <w:p w14:paraId="2C0483CE" w14:textId="77777777" w:rsidR="003F1BDF" w:rsidRPr="002E4AF7" w:rsidRDefault="003F1BDF" w:rsidP="003F1BDF">
            <w:pPr>
              <w:overflowPunct w:val="0"/>
              <w:textAlignment w:val="baseline"/>
            </w:pPr>
          </w:p>
        </w:tc>
      </w:tr>
    </w:tbl>
    <w:p w14:paraId="15645682" w14:textId="77777777" w:rsidR="003F1BDF" w:rsidRPr="00501FCB" w:rsidRDefault="003F1BDF" w:rsidP="00CC7E3E">
      <w:pPr>
        <w:rPr>
          <w:rFonts w:ascii="Calibri" w:hAnsi="Calibri"/>
          <w:b/>
          <w:color w:val="auto"/>
          <w:u w:val="single"/>
          <w14:shadow w14:blurRad="50800" w14:dist="38100" w14:dir="2700000" w14:sx="100000" w14:sy="100000" w14:kx="0" w14:ky="0" w14:algn="tl">
            <w14:srgbClr w14:val="000000">
              <w14:alpha w14:val="60000"/>
            </w14:srgbClr>
          </w14:shadow>
        </w:rPr>
      </w:pPr>
    </w:p>
    <w:sectPr w:rsidR="003F1BDF" w:rsidRPr="00501FCB" w:rsidSect="008C17EB">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F0D7D" w14:textId="77777777" w:rsidR="00897B35" w:rsidRDefault="00897B35">
      <w:r>
        <w:separator/>
      </w:r>
    </w:p>
  </w:endnote>
  <w:endnote w:type="continuationSeparator" w:id="0">
    <w:p w14:paraId="772116F9" w14:textId="77777777" w:rsidR="00897B35" w:rsidRDefault="0089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E8EC1" w14:textId="77777777" w:rsidR="00B64AF8" w:rsidRDefault="00B64A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00CE7" w14:textId="77777777" w:rsidR="003F1BDF" w:rsidRPr="001D34F6" w:rsidRDefault="003F1BDF" w:rsidP="00E67FE8">
    <w:pPr>
      <w:widowControl w:val="0"/>
      <w:spacing w:line="310" w:lineRule="exact"/>
      <w:rPr>
        <w:rFonts w:ascii="Calibri" w:hAnsi="Calibri" w:cs="Times New Roman"/>
        <w:sz w:val="18"/>
        <w:szCs w:val="18"/>
      </w:rPr>
    </w:pPr>
    <w:r w:rsidRPr="001D34F6">
      <w:rPr>
        <w:rFonts w:ascii="Calibri" w:hAnsi="Calibri" w:cs="Times New Roman"/>
        <w:sz w:val="18"/>
        <w:szCs w:val="18"/>
      </w:rPr>
      <w:t xml:space="preserve">NERC Reliability Standard Audit Worksheet </w:t>
    </w:r>
  </w:p>
  <w:p w14:paraId="037BB39E" w14:textId="77777777" w:rsidR="003F1BDF" w:rsidRPr="001D34F6" w:rsidRDefault="003F1BDF" w:rsidP="00E67FE8">
    <w:pPr>
      <w:widowControl w:val="0"/>
      <w:spacing w:line="220" w:lineRule="exact"/>
      <w:rPr>
        <w:rFonts w:ascii="Calibri" w:hAnsi="Calibri" w:cs="Times New Roman"/>
        <w:sz w:val="18"/>
        <w:szCs w:val="18"/>
      </w:rPr>
    </w:pPr>
    <w:r w:rsidRPr="001D34F6">
      <w:rPr>
        <w:rFonts w:ascii="Calibri" w:hAnsi="Calibri" w:cs="Times New Roman"/>
        <w:sz w:val="18"/>
        <w:szCs w:val="18"/>
      </w:rPr>
      <w:t>Compliance Enforcement Authority: _____________</w:t>
    </w:r>
  </w:p>
  <w:p w14:paraId="3BA662A1" w14:textId="77777777" w:rsidR="003F1BDF" w:rsidRPr="001D34F6" w:rsidRDefault="003F1BDF" w:rsidP="00E67FE8">
    <w:pPr>
      <w:widowControl w:val="0"/>
      <w:spacing w:line="220" w:lineRule="exact"/>
      <w:rPr>
        <w:rFonts w:ascii="Calibri" w:hAnsi="Calibri" w:cs="Times New Roman"/>
        <w:sz w:val="18"/>
        <w:szCs w:val="18"/>
      </w:rPr>
    </w:pPr>
    <w:r w:rsidRPr="001D34F6">
      <w:rPr>
        <w:rFonts w:ascii="Calibri" w:hAnsi="Calibri" w:cs="Times New Roman"/>
        <w:sz w:val="18"/>
        <w:szCs w:val="18"/>
      </w:rPr>
      <w:t>Registered Entity:_____________________________</w:t>
    </w:r>
  </w:p>
  <w:p w14:paraId="79229719" w14:textId="77777777" w:rsidR="003F1BDF" w:rsidRPr="001D34F6" w:rsidRDefault="003F1BDF" w:rsidP="00E67FE8">
    <w:pPr>
      <w:widowControl w:val="0"/>
      <w:spacing w:line="220" w:lineRule="exact"/>
      <w:rPr>
        <w:rFonts w:ascii="Calibri" w:hAnsi="Calibri" w:cs="Times New Roman"/>
        <w:sz w:val="18"/>
        <w:szCs w:val="18"/>
      </w:rPr>
    </w:pPr>
    <w:r w:rsidRPr="001D34F6">
      <w:rPr>
        <w:rFonts w:ascii="Calibri" w:hAnsi="Calibri" w:cs="Times New Roman"/>
        <w:sz w:val="18"/>
        <w:szCs w:val="18"/>
      </w:rPr>
      <w:t xml:space="preserve">NCR Number:_______________________________ </w:t>
    </w:r>
  </w:p>
  <w:p w14:paraId="3F0B8767" w14:textId="77777777" w:rsidR="003F1BDF" w:rsidRPr="001D34F6" w:rsidRDefault="003F1BDF" w:rsidP="00E67FE8">
    <w:pPr>
      <w:widowControl w:val="0"/>
      <w:spacing w:line="220" w:lineRule="exact"/>
      <w:rPr>
        <w:rFonts w:ascii="Calibri" w:hAnsi="Calibri" w:cs="Times New Roman"/>
        <w:sz w:val="18"/>
        <w:szCs w:val="18"/>
      </w:rPr>
    </w:pPr>
    <w:r w:rsidRPr="001D34F6">
      <w:rPr>
        <w:rFonts w:ascii="Calibri" w:hAnsi="Calibri" w:cs="Times New Roman"/>
        <w:sz w:val="18"/>
        <w:szCs w:val="18"/>
      </w:rPr>
      <w:t xml:space="preserve">Compliance Assessment Date:__________________ </w:t>
    </w:r>
  </w:p>
  <w:p w14:paraId="385654DB" w14:textId="77777777" w:rsidR="003F1BDF" w:rsidRPr="008C17EB" w:rsidRDefault="003F1BDF" w:rsidP="00AF6EF7">
    <w:pPr>
      <w:widowControl w:val="0"/>
      <w:rPr>
        <w:rFonts w:ascii="Calibri" w:hAnsi="Calibri"/>
        <w:sz w:val="18"/>
        <w:szCs w:val="18"/>
      </w:rPr>
    </w:pPr>
    <w:r w:rsidRPr="001D34F6">
      <w:rPr>
        <w:rFonts w:ascii="Calibri" w:hAnsi="Calibri" w:cs="Times New Roman"/>
        <w:sz w:val="18"/>
        <w:szCs w:val="18"/>
      </w:rPr>
      <w:t xml:space="preserve">RSAW Version: </w:t>
    </w:r>
    <w:r w:rsidRPr="001D34F6">
      <w:rPr>
        <w:rFonts w:ascii="Calibri" w:hAnsi="Calibri"/>
        <w:sz w:val="18"/>
        <w:szCs w:val="18"/>
      </w:rPr>
      <w:t>RSAW_</w:t>
    </w:r>
    <w:r>
      <w:rPr>
        <w:rFonts w:ascii="Calibri" w:hAnsi="Calibri"/>
        <w:sz w:val="18"/>
        <w:szCs w:val="18"/>
      </w:rPr>
      <w:t>FAC</w:t>
    </w:r>
    <w:r w:rsidRPr="001D34F6">
      <w:rPr>
        <w:rFonts w:ascii="Calibri" w:hAnsi="Calibri"/>
        <w:sz w:val="18"/>
        <w:szCs w:val="18"/>
      </w:rPr>
      <w:t>-0</w:t>
    </w:r>
    <w:r>
      <w:rPr>
        <w:rFonts w:ascii="Calibri" w:hAnsi="Calibri"/>
        <w:sz w:val="18"/>
        <w:szCs w:val="18"/>
      </w:rPr>
      <w:t>13</w:t>
    </w:r>
    <w:r w:rsidRPr="001D34F6">
      <w:rPr>
        <w:rFonts w:ascii="Calibri" w:hAnsi="Calibri"/>
        <w:sz w:val="18"/>
        <w:szCs w:val="18"/>
      </w:rPr>
      <w:t>-</w:t>
    </w:r>
    <w:r>
      <w:rPr>
        <w:rFonts w:ascii="Calibri" w:hAnsi="Calibri"/>
        <w:sz w:val="18"/>
        <w:szCs w:val="18"/>
      </w:rPr>
      <w:t>2</w:t>
    </w:r>
    <w:r w:rsidRPr="001D34F6">
      <w:rPr>
        <w:rFonts w:ascii="Calibri" w:hAnsi="Calibri"/>
        <w:sz w:val="18"/>
        <w:szCs w:val="18"/>
      </w:rPr>
      <w:t>_201</w:t>
    </w:r>
    <w:r>
      <w:rPr>
        <w:rFonts w:ascii="Calibri" w:hAnsi="Calibri"/>
        <w:sz w:val="18"/>
        <w:szCs w:val="18"/>
      </w:rPr>
      <w:t>3</w:t>
    </w:r>
    <w:r w:rsidRPr="001D34F6">
      <w:rPr>
        <w:rFonts w:ascii="Calibri" w:hAnsi="Calibri"/>
        <w:sz w:val="18"/>
        <w:szCs w:val="18"/>
      </w:rPr>
      <w:t>_v1</w:t>
    </w:r>
  </w:p>
  <w:p w14:paraId="6302389D" w14:textId="77777777" w:rsidR="003F1BDF" w:rsidRPr="0071254D" w:rsidRDefault="00C332F7" w:rsidP="00953B08">
    <w:pPr>
      <w:widowControl w:val="0"/>
      <w:spacing w:line="244" w:lineRule="exact"/>
      <w:jc w:val="center"/>
      <w:rPr>
        <w:rFonts w:ascii="Calibri" w:hAnsi="Calibri" w:cs="Times New Roman"/>
        <w:sz w:val="18"/>
        <w:szCs w:val="18"/>
      </w:rPr>
    </w:pPr>
    <w:r w:rsidRPr="0071254D">
      <w:rPr>
        <w:rStyle w:val="PageNumber"/>
        <w:rFonts w:ascii="Calibri" w:hAnsi="Calibri" w:cs="Times New Roman"/>
        <w:sz w:val="18"/>
        <w:szCs w:val="18"/>
      </w:rPr>
      <w:fldChar w:fldCharType="begin"/>
    </w:r>
    <w:r w:rsidR="003F1BDF" w:rsidRPr="0071254D">
      <w:rPr>
        <w:rStyle w:val="PageNumber"/>
        <w:rFonts w:ascii="Calibri" w:hAnsi="Calibri" w:cs="Times New Roman"/>
        <w:sz w:val="18"/>
        <w:szCs w:val="18"/>
      </w:rPr>
      <w:instrText xml:space="preserve"> PAGE </w:instrText>
    </w:r>
    <w:r w:rsidRPr="0071254D">
      <w:rPr>
        <w:rStyle w:val="PageNumber"/>
        <w:rFonts w:ascii="Calibri" w:hAnsi="Calibri" w:cs="Times New Roman"/>
        <w:sz w:val="18"/>
        <w:szCs w:val="18"/>
      </w:rPr>
      <w:fldChar w:fldCharType="separate"/>
    </w:r>
    <w:r w:rsidR="00C41854">
      <w:rPr>
        <w:rStyle w:val="PageNumber"/>
        <w:rFonts w:ascii="Calibri" w:hAnsi="Calibri" w:cs="Times New Roman"/>
        <w:noProof/>
        <w:sz w:val="18"/>
        <w:szCs w:val="18"/>
      </w:rPr>
      <w:t>4</w:t>
    </w:r>
    <w:r w:rsidRPr="0071254D">
      <w:rPr>
        <w:rStyle w:val="PageNumber"/>
        <w:rFonts w:ascii="Calibri" w:hAnsi="Calibri"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6855C" w14:textId="77777777" w:rsidR="00B64AF8" w:rsidRDefault="00B64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9ED01" w14:textId="77777777" w:rsidR="00897B35" w:rsidRDefault="00897B35">
      <w:r>
        <w:separator/>
      </w:r>
    </w:p>
  </w:footnote>
  <w:footnote w:type="continuationSeparator" w:id="0">
    <w:p w14:paraId="293B64E4" w14:textId="77777777" w:rsidR="00897B35" w:rsidRDefault="00897B35">
      <w:r>
        <w:continuationSeparator/>
      </w:r>
    </w:p>
  </w:footnote>
  <w:footnote w:id="1">
    <w:p w14:paraId="58D147F4" w14:textId="77777777" w:rsidR="003F1BDF" w:rsidRPr="004F562B" w:rsidRDefault="003F1BDF" w:rsidP="001D52A5">
      <w:pPr>
        <w:widowControl w:val="0"/>
        <w:tabs>
          <w:tab w:val="left" w:pos="0"/>
        </w:tabs>
        <w:jc w:val="both"/>
        <w:rPr>
          <w:rFonts w:ascii="Calibri" w:hAnsi="Calibri" w:cs="Times New Roman"/>
          <w:sz w:val="16"/>
          <w:szCs w:val="16"/>
        </w:rPr>
      </w:pPr>
      <w:r w:rsidRPr="001D52A5">
        <w:rPr>
          <w:rStyle w:val="FootnoteReference"/>
          <w:rFonts w:ascii="Calibri" w:hAnsi="Calibri"/>
          <w:sz w:val="16"/>
          <w:szCs w:val="16"/>
        </w:rPr>
        <w:footnoteRef/>
      </w:r>
      <w:r>
        <w:t xml:space="preserve"> </w:t>
      </w:r>
      <w:r w:rsidRPr="004F562B">
        <w:rPr>
          <w:rFonts w:ascii="Calibri" w:hAnsi="Calibr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w:t>
      </w:r>
      <w:r w:rsidR="00C41854">
        <w:rPr>
          <w:rFonts w:ascii="Calibri" w:hAnsi="Calibri" w:cs="Times New Roman"/>
          <w:sz w:val="16"/>
          <w:szCs w:val="16"/>
        </w:rPr>
        <w:t>n be found on NERC’s website</w:t>
      </w:r>
      <w:r w:rsidRPr="004F562B">
        <w:rPr>
          <w:rFonts w:ascii="Calibri" w:hAnsi="Calibri" w:cs="Times New Roman"/>
          <w:sz w:val="16"/>
          <w:szCs w:val="16"/>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6FC2516D" w14:textId="77777777" w:rsidR="003F1BDF" w:rsidRPr="004F562B" w:rsidRDefault="003F1BDF" w:rsidP="001D52A5">
      <w:pPr>
        <w:jc w:val="both"/>
        <w:rPr>
          <w:rFonts w:ascii="Calibri" w:hAnsi="Calibri" w:cs="Times New Roman"/>
          <w:sz w:val="16"/>
          <w:szCs w:val="16"/>
        </w:rPr>
      </w:pPr>
    </w:p>
    <w:p w14:paraId="0CBAB11F" w14:textId="77777777" w:rsidR="003F1BDF" w:rsidRPr="004F562B" w:rsidRDefault="003F1BDF" w:rsidP="001D52A5">
      <w:pPr>
        <w:jc w:val="both"/>
        <w:rPr>
          <w:rFonts w:ascii="Calibri" w:hAnsi="Calibri" w:cs="Times New Roman"/>
          <w:sz w:val="16"/>
          <w:szCs w:val="16"/>
        </w:rPr>
      </w:pPr>
      <w:r w:rsidRPr="004F562B">
        <w:rPr>
          <w:rFonts w:ascii="Calibri" w:hAnsi="Calibri" w:cs="Times New Roman"/>
          <w:sz w:val="16"/>
          <w:szCs w:val="16"/>
        </w:rPr>
        <w:t>The NERC RSAW language contained within this document provides a non</w:t>
      </w:r>
      <w:r w:rsidRPr="004F562B">
        <w:rPr>
          <w:rFonts w:ascii="Calibri" w:hAnsi="Calibr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7129A2BD" w14:textId="77777777" w:rsidR="003F1BDF" w:rsidRDefault="003F1BD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77D36" w14:textId="77777777" w:rsidR="00B64AF8" w:rsidRDefault="00B64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6338D" w14:textId="77777777" w:rsidR="003F1BDF" w:rsidRDefault="003F1BDF" w:rsidP="00E67FE8">
    <w:pPr>
      <w:widowControl w:val="0"/>
      <w:spacing w:line="294" w:lineRule="exact"/>
      <w:rPr>
        <w:rFonts w:ascii="Times New Roman" w:hAnsi="Times New Roman" w:cs="Times New Roman"/>
        <w:b/>
        <w:bCs/>
        <w:color w:val="003366"/>
        <w:sz w:val="28"/>
        <w:szCs w:val="28"/>
      </w:rPr>
    </w:pPr>
  </w:p>
  <w:p w14:paraId="77845FF7" w14:textId="77777777" w:rsidR="003F1BDF" w:rsidRPr="00747591" w:rsidRDefault="003F1BDF"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2C628C54" w14:textId="77777777" w:rsidR="003F1BDF" w:rsidRDefault="00501FCB" w:rsidP="00747591">
    <w:pPr>
      <w:widowControl w:val="0"/>
      <w:spacing w:before="66"/>
      <w:rPr>
        <w:rFonts w:cs="Times New Roman"/>
      </w:rPr>
    </w:pPr>
    <w:r w:rsidRPr="00AC5211">
      <w:rPr>
        <w:rFonts w:cs="Times New Roman"/>
        <w:noProof/>
      </w:rPr>
      <w:drawing>
        <wp:inline distT="0" distB="0" distL="0" distR="0" wp14:anchorId="3F46A051" wp14:editId="13810CB5">
          <wp:extent cx="5953125" cy="476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47625"/>
                  </a:xfrm>
                  <a:prstGeom prst="rect">
                    <a:avLst/>
                  </a:prstGeom>
                  <a:noFill/>
                  <a:ln>
                    <a:noFill/>
                  </a:ln>
                </pic:spPr>
              </pic:pic>
            </a:graphicData>
          </a:graphic>
        </wp:inline>
      </w:drawing>
    </w:r>
  </w:p>
  <w:p w14:paraId="5BAE4742" w14:textId="77777777" w:rsidR="003F1BDF" w:rsidRDefault="003F1BDF">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8F284" w14:textId="77777777" w:rsidR="00B64AF8" w:rsidRDefault="00B64A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8">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BC4E84"/>
    <w:multiLevelType w:val="hybridMultilevel"/>
    <w:tmpl w:val="15940E2C"/>
    <w:lvl w:ilvl="0" w:tplc="A2307D5C">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1736B652">
      <w:numFmt w:val="bullet"/>
      <w:lvlText w:val="-"/>
      <w:lvlJc w:val="left"/>
      <w:pPr>
        <w:ind w:left="3240" w:hanging="72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2">
    <w:nsid w:val="40966FEE"/>
    <w:multiLevelType w:val="multilevel"/>
    <w:tmpl w:val="4D066FA6"/>
    <w:lvl w:ilvl="0">
      <w:start w:val="1"/>
      <w:numFmt w:val="decimal"/>
      <w:lvlText w:val="%1."/>
      <w:lvlJc w:val="left"/>
      <w:pPr>
        <w:tabs>
          <w:tab w:val="num" w:pos="720"/>
        </w:tabs>
        <w:ind w:left="720" w:hanging="360"/>
      </w:pPr>
      <w:rPr>
        <w:rFonts w:cs="Times New Roman"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3">
    <w:nsid w:val="4603329F"/>
    <w:multiLevelType w:val="multilevel"/>
    <w:tmpl w:val="A9DCE24A"/>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1728"/>
        </w:tabs>
        <w:ind w:left="2160" w:hanging="720"/>
      </w:pPr>
      <w:rPr>
        <w:rFonts w:ascii="Times New Roman" w:hAnsi="Times New Roman"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4">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15">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17">
    <w:nsid w:val="4E500DB1"/>
    <w:multiLevelType w:val="multilevel"/>
    <w:tmpl w:val="0DD64764"/>
    <w:lvl w:ilvl="0">
      <w:start w:val="1"/>
      <w:numFmt w:val="decimal"/>
      <w:lvlText w:val="%1."/>
      <w:lvlJc w:val="left"/>
      <w:pPr>
        <w:tabs>
          <w:tab w:val="num" w:pos="720"/>
        </w:tabs>
        <w:ind w:left="720" w:hanging="360"/>
      </w:pPr>
      <w:rPr>
        <w:rFonts w:cs="Times New Roman" w:hint="default"/>
        <w:color w:val="000000"/>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19">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1">
    <w:nsid w:val="67CB3584"/>
    <w:multiLevelType w:val="multilevel"/>
    <w:tmpl w:val="7284C450"/>
    <w:lvl w:ilvl="0">
      <w:start w:val="1"/>
      <w:numFmt w:val="decimal"/>
      <w:pStyle w:val="Measure"/>
      <w:lvlText w:val="M%1."/>
      <w:lvlJc w:val="left"/>
      <w:pPr>
        <w:tabs>
          <w:tab w:val="num" w:pos="360"/>
        </w:tabs>
        <w:ind w:left="936" w:hanging="576"/>
      </w:pPr>
      <w:rPr>
        <w:rFonts w:ascii="Times New Roman" w:hAnsi="Times New Roman"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22">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25">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28">
    <w:nsid w:val="7FA81468"/>
    <w:multiLevelType w:val="hybridMultilevel"/>
    <w:tmpl w:val="3E84AC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8"/>
  </w:num>
  <w:num w:numId="6">
    <w:abstractNumId w:val="11"/>
  </w:num>
  <w:num w:numId="7">
    <w:abstractNumId w:val="4"/>
  </w:num>
  <w:num w:numId="8">
    <w:abstractNumId w:val="22"/>
  </w:num>
  <w:num w:numId="9">
    <w:abstractNumId w:val="20"/>
  </w:num>
  <w:num w:numId="10">
    <w:abstractNumId w:val="3"/>
  </w:num>
  <w:num w:numId="11">
    <w:abstractNumId w:val="16"/>
  </w:num>
  <w:num w:numId="12">
    <w:abstractNumId w:val="7"/>
  </w:num>
  <w:num w:numId="13">
    <w:abstractNumId w:val="1"/>
  </w:num>
  <w:num w:numId="14">
    <w:abstractNumId w:val="2"/>
  </w:num>
  <w:num w:numId="15">
    <w:abstractNumId w:val="27"/>
  </w:num>
  <w:num w:numId="16">
    <w:abstractNumId w:val="24"/>
  </w:num>
  <w:num w:numId="17">
    <w:abstractNumId w:val="25"/>
  </w:num>
  <w:num w:numId="18">
    <w:abstractNumId w:val="17"/>
  </w:num>
  <w:num w:numId="19">
    <w:abstractNumId w:val="14"/>
  </w:num>
  <w:num w:numId="20">
    <w:abstractNumId w:val="5"/>
  </w:num>
  <w:num w:numId="21">
    <w:abstractNumId w:val="12"/>
  </w:num>
  <w:num w:numId="22">
    <w:abstractNumId w:val="6"/>
  </w:num>
  <w:num w:numId="23">
    <w:abstractNumId w:val="10"/>
  </w:num>
  <w:num w:numId="24">
    <w:abstractNumId w:val="23"/>
  </w:num>
  <w:num w:numId="25">
    <w:abstractNumId w:val="0"/>
  </w:num>
  <w:num w:numId="26">
    <w:abstractNumId w:val="9"/>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7A"/>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60F12"/>
    <w:rsid w:val="00061CC7"/>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4BDB"/>
    <w:rsid w:val="000A56B5"/>
    <w:rsid w:val="000A7FA0"/>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03B6"/>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2CB"/>
    <w:rsid w:val="00246DD2"/>
    <w:rsid w:val="00247004"/>
    <w:rsid w:val="002515D8"/>
    <w:rsid w:val="002613DD"/>
    <w:rsid w:val="002628BA"/>
    <w:rsid w:val="00270B72"/>
    <w:rsid w:val="00271B22"/>
    <w:rsid w:val="002731DA"/>
    <w:rsid w:val="0027439B"/>
    <w:rsid w:val="00275608"/>
    <w:rsid w:val="00275730"/>
    <w:rsid w:val="00275870"/>
    <w:rsid w:val="00280715"/>
    <w:rsid w:val="00282C4C"/>
    <w:rsid w:val="002835BF"/>
    <w:rsid w:val="002838DD"/>
    <w:rsid w:val="00283D53"/>
    <w:rsid w:val="00284469"/>
    <w:rsid w:val="00284AF0"/>
    <w:rsid w:val="00285B5E"/>
    <w:rsid w:val="00286CAC"/>
    <w:rsid w:val="00287907"/>
    <w:rsid w:val="002907B2"/>
    <w:rsid w:val="00293B3D"/>
    <w:rsid w:val="00293D2F"/>
    <w:rsid w:val="00294318"/>
    <w:rsid w:val="00296AB3"/>
    <w:rsid w:val="00297D67"/>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6CEE"/>
    <w:rsid w:val="0030012B"/>
    <w:rsid w:val="00304924"/>
    <w:rsid w:val="00304FF0"/>
    <w:rsid w:val="003054C4"/>
    <w:rsid w:val="00305CC5"/>
    <w:rsid w:val="00306738"/>
    <w:rsid w:val="00307E53"/>
    <w:rsid w:val="003113D1"/>
    <w:rsid w:val="0031156F"/>
    <w:rsid w:val="00311633"/>
    <w:rsid w:val="00323042"/>
    <w:rsid w:val="003230A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76F63"/>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380"/>
    <w:rsid w:val="003C0AF1"/>
    <w:rsid w:val="003C20AB"/>
    <w:rsid w:val="003C5A9F"/>
    <w:rsid w:val="003C629F"/>
    <w:rsid w:val="003C64CF"/>
    <w:rsid w:val="003C68D9"/>
    <w:rsid w:val="003D1343"/>
    <w:rsid w:val="003D28AA"/>
    <w:rsid w:val="003D7039"/>
    <w:rsid w:val="003E1473"/>
    <w:rsid w:val="003E2299"/>
    <w:rsid w:val="003E2468"/>
    <w:rsid w:val="003E4BA4"/>
    <w:rsid w:val="003E5193"/>
    <w:rsid w:val="003E60F2"/>
    <w:rsid w:val="003F0CCC"/>
    <w:rsid w:val="003F1759"/>
    <w:rsid w:val="003F1BDF"/>
    <w:rsid w:val="003F1D3A"/>
    <w:rsid w:val="003F5676"/>
    <w:rsid w:val="003F5D24"/>
    <w:rsid w:val="003F61D0"/>
    <w:rsid w:val="00400135"/>
    <w:rsid w:val="00400564"/>
    <w:rsid w:val="004005B5"/>
    <w:rsid w:val="0040080B"/>
    <w:rsid w:val="00401BE1"/>
    <w:rsid w:val="00402C3E"/>
    <w:rsid w:val="00406C2D"/>
    <w:rsid w:val="004112A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4EDD"/>
    <w:rsid w:val="00437BEF"/>
    <w:rsid w:val="00440BF2"/>
    <w:rsid w:val="004422BC"/>
    <w:rsid w:val="004422C3"/>
    <w:rsid w:val="00442893"/>
    <w:rsid w:val="004436C9"/>
    <w:rsid w:val="00443E7F"/>
    <w:rsid w:val="004500CD"/>
    <w:rsid w:val="00451897"/>
    <w:rsid w:val="00452214"/>
    <w:rsid w:val="00453A44"/>
    <w:rsid w:val="00454791"/>
    <w:rsid w:val="004563E3"/>
    <w:rsid w:val="00462069"/>
    <w:rsid w:val="0046364E"/>
    <w:rsid w:val="00464FDB"/>
    <w:rsid w:val="00465F5F"/>
    <w:rsid w:val="00467D57"/>
    <w:rsid w:val="00470ADE"/>
    <w:rsid w:val="00471785"/>
    <w:rsid w:val="00471D99"/>
    <w:rsid w:val="0047440B"/>
    <w:rsid w:val="004768F2"/>
    <w:rsid w:val="0048223A"/>
    <w:rsid w:val="00490283"/>
    <w:rsid w:val="0049303A"/>
    <w:rsid w:val="00495257"/>
    <w:rsid w:val="004969DC"/>
    <w:rsid w:val="004A1D06"/>
    <w:rsid w:val="004A2ABA"/>
    <w:rsid w:val="004A308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D737E"/>
    <w:rsid w:val="004E0A3D"/>
    <w:rsid w:val="004E11B9"/>
    <w:rsid w:val="004E17D4"/>
    <w:rsid w:val="004E1BC5"/>
    <w:rsid w:val="004E3D71"/>
    <w:rsid w:val="004E60B8"/>
    <w:rsid w:val="004E77ED"/>
    <w:rsid w:val="004F3934"/>
    <w:rsid w:val="004F562B"/>
    <w:rsid w:val="004F7DA7"/>
    <w:rsid w:val="005001F7"/>
    <w:rsid w:val="00501243"/>
    <w:rsid w:val="00501FCB"/>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66D8"/>
    <w:rsid w:val="005477A9"/>
    <w:rsid w:val="00550866"/>
    <w:rsid w:val="00554773"/>
    <w:rsid w:val="00556298"/>
    <w:rsid w:val="005565B9"/>
    <w:rsid w:val="005576D8"/>
    <w:rsid w:val="00561E96"/>
    <w:rsid w:val="005626B9"/>
    <w:rsid w:val="00566C1B"/>
    <w:rsid w:val="00567638"/>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4C67"/>
    <w:rsid w:val="005C5B55"/>
    <w:rsid w:val="005D0B81"/>
    <w:rsid w:val="005D4351"/>
    <w:rsid w:val="005D6887"/>
    <w:rsid w:val="005D6B07"/>
    <w:rsid w:val="005D7AED"/>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37520"/>
    <w:rsid w:val="00642AE9"/>
    <w:rsid w:val="0064547F"/>
    <w:rsid w:val="00646B2E"/>
    <w:rsid w:val="00647DE0"/>
    <w:rsid w:val="00651481"/>
    <w:rsid w:val="00654818"/>
    <w:rsid w:val="00654B57"/>
    <w:rsid w:val="00661A57"/>
    <w:rsid w:val="0066403A"/>
    <w:rsid w:val="00664419"/>
    <w:rsid w:val="00665924"/>
    <w:rsid w:val="006734AC"/>
    <w:rsid w:val="006779E8"/>
    <w:rsid w:val="00677F0D"/>
    <w:rsid w:val="00680C03"/>
    <w:rsid w:val="0068392C"/>
    <w:rsid w:val="006841B7"/>
    <w:rsid w:val="006845BB"/>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6D5A"/>
    <w:rsid w:val="00700256"/>
    <w:rsid w:val="0070368D"/>
    <w:rsid w:val="00703C6B"/>
    <w:rsid w:val="007062AE"/>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926"/>
    <w:rsid w:val="007719BD"/>
    <w:rsid w:val="0077241C"/>
    <w:rsid w:val="00772F74"/>
    <w:rsid w:val="0077482A"/>
    <w:rsid w:val="00776474"/>
    <w:rsid w:val="0077665D"/>
    <w:rsid w:val="007778AA"/>
    <w:rsid w:val="007803A1"/>
    <w:rsid w:val="00782D05"/>
    <w:rsid w:val="007835A0"/>
    <w:rsid w:val="0078421B"/>
    <w:rsid w:val="00784F0F"/>
    <w:rsid w:val="00785445"/>
    <w:rsid w:val="00790C18"/>
    <w:rsid w:val="00791E29"/>
    <w:rsid w:val="007950F6"/>
    <w:rsid w:val="007955E5"/>
    <w:rsid w:val="007965AD"/>
    <w:rsid w:val="007968E0"/>
    <w:rsid w:val="0079799E"/>
    <w:rsid w:val="00797F9E"/>
    <w:rsid w:val="007A03C8"/>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117A5"/>
    <w:rsid w:val="00813503"/>
    <w:rsid w:val="00816182"/>
    <w:rsid w:val="00816AB5"/>
    <w:rsid w:val="008208DB"/>
    <w:rsid w:val="0082291E"/>
    <w:rsid w:val="00825468"/>
    <w:rsid w:val="008302E3"/>
    <w:rsid w:val="00831345"/>
    <w:rsid w:val="00831668"/>
    <w:rsid w:val="00832575"/>
    <w:rsid w:val="008325C7"/>
    <w:rsid w:val="0083544A"/>
    <w:rsid w:val="00835E74"/>
    <w:rsid w:val="00837600"/>
    <w:rsid w:val="00840479"/>
    <w:rsid w:val="00840537"/>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711BF"/>
    <w:rsid w:val="008716C9"/>
    <w:rsid w:val="00885E10"/>
    <w:rsid w:val="008911CD"/>
    <w:rsid w:val="008912C2"/>
    <w:rsid w:val="0089385F"/>
    <w:rsid w:val="008943A3"/>
    <w:rsid w:val="00894C04"/>
    <w:rsid w:val="00894DE0"/>
    <w:rsid w:val="00895204"/>
    <w:rsid w:val="008952D0"/>
    <w:rsid w:val="0089534B"/>
    <w:rsid w:val="0089703B"/>
    <w:rsid w:val="008971D2"/>
    <w:rsid w:val="00897B35"/>
    <w:rsid w:val="00897E04"/>
    <w:rsid w:val="008A08CF"/>
    <w:rsid w:val="008A2BAF"/>
    <w:rsid w:val="008A3C2C"/>
    <w:rsid w:val="008B1BC1"/>
    <w:rsid w:val="008B43AD"/>
    <w:rsid w:val="008C17EB"/>
    <w:rsid w:val="008C243D"/>
    <w:rsid w:val="008C330D"/>
    <w:rsid w:val="008C595A"/>
    <w:rsid w:val="008C65D1"/>
    <w:rsid w:val="008C7867"/>
    <w:rsid w:val="008D042B"/>
    <w:rsid w:val="008D14DE"/>
    <w:rsid w:val="008D1F95"/>
    <w:rsid w:val="008D2944"/>
    <w:rsid w:val="008D4860"/>
    <w:rsid w:val="008E177D"/>
    <w:rsid w:val="008E2539"/>
    <w:rsid w:val="008E2A7F"/>
    <w:rsid w:val="008E321A"/>
    <w:rsid w:val="008E44BA"/>
    <w:rsid w:val="008E5AE5"/>
    <w:rsid w:val="008F0515"/>
    <w:rsid w:val="008F1748"/>
    <w:rsid w:val="008F22AC"/>
    <w:rsid w:val="008F2578"/>
    <w:rsid w:val="008F300B"/>
    <w:rsid w:val="008F37ED"/>
    <w:rsid w:val="008F4B9F"/>
    <w:rsid w:val="008F7086"/>
    <w:rsid w:val="00900AF8"/>
    <w:rsid w:val="0090102F"/>
    <w:rsid w:val="00901C8B"/>
    <w:rsid w:val="00901DC2"/>
    <w:rsid w:val="00904CC3"/>
    <w:rsid w:val="00906E1F"/>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4EB1"/>
    <w:rsid w:val="00985E91"/>
    <w:rsid w:val="009907A3"/>
    <w:rsid w:val="00993D5D"/>
    <w:rsid w:val="00994420"/>
    <w:rsid w:val="00995115"/>
    <w:rsid w:val="009A0137"/>
    <w:rsid w:val="009A39CD"/>
    <w:rsid w:val="009A7698"/>
    <w:rsid w:val="009A7E88"/>
    <w:rsid w:val="009B299B"/>
    <w:rsid w:val="009B42B5"/>
    <w:rsid w:val="009C03E5"/>
    <w:rsid w:val="009C3AAE"/>
    <w:rsid w:val="009C4442"/>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4EFC"/>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50AA7"/>
    <w:rsid w:val="00A5274C"/>
    <w:rsid w:val="00A528DB"/>
    <w:rsid w:val="00A529D1"/>
    <w:rsid w:val="00A53133"/>
    <w:rsid w:val="00A545FE"/>
    <w:rsid w:val="00A55FFA"/>
    <w:rsid w:val="00A5699C"/>
    <w:rsid w:val="00A61163"/>
    <w:rsid w:val="00A613E0"/>
    <w:rsid w:val="00A616E8"/>
    <w:rsid w:val="00A634FC"/>
    <w:rsid w:val="00A64F18"/>
    <w:rsid w:val="00A6648C"/>
    <w:rsid w:val="00A71E3D"/>
    <w:rsid w:val="00A71EEA"/>
    <w:rsid w:val="00A77BF0"/>
    <w:rsid w:val="00A83F3A"/>
    <w:rsid w:val="00A856CC"/>
    <w:rsid w:val="00A8677A"/>
    <w:rsid w:val="00A86EBA"/>
    <w:rsid w:val="00A87A00"/>
    <w:rsid w:val="00A90E00"/>
    <w:rsid w:val="00A9182C"/>
    <w:rsid w:val="00A94DFD"/>
    <w:rsid w:val="00A95050"/>
    <w:rsid w:val="00A9792F"/>
    <w:rsid w:val="00AA1527"/>
    <w:rsid w:val="00AA2F8E"/>
    <w:rsid w:val="00AA4874"/>
    <w:rsid w:val="00AB1F55"/>
    <w:rsid w:val="00AB3C20"/>
    <w:rsid w:val="00AB4786"/>
    <w:rsid w:val="00AB516F"/>
    <w:rsid w:val="00AB5A87"/>
    <w:rsid w:val="00AB7D5B"/>
    <w:rsid w:val="00AC0EC3"/>
    <w:rsid w:val="00AC38BE"/>
    <w:rsid w:val="00AC5211"/>
    <w:rsid w:val="00AC5876"/>
    <w:rsid w:val="00AC6D06"/>
    <w:rsid w:val="00AD0F1F"/>
    <w:rsid w:val="00AD482F"/>
    <w:rsid w:val="00AD50F8"/>
    <w:rsid w:val="00AD780D"/>
    <w:rsid w:val="00AD79E2"/>
    <w:rsid w:val="00AE0E26"/>
    <w:rsid w:val="00AE0E65"/>
    <w:rsid w:val="00AE20AE"/>
    <w:rsid w:val="00AE2FDD"/>
    <w:rsid w:val="00AE4630"/>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2EA0"/>
    <w:rsid w:val="00B63668"/>
    <w:rsid w:val="00B64448"/>
    <w:rsid w:val="00B64AF8"/>
    <w:rsid w:val="00B71AB2"/>
    <w:rsid w:val="00B75AB9"/>
    <w:rsid w:val="00B7780E"/>
    <w:rsid w:val="00B80378"/>
    <w:rsid w:val="00B80BD8"/>
    <w:rsid w:val="00B81EDD"/>
    <w:rsid w:val="00B82872"/>
    <w:rsid w:val="00B846C9"/>
    <w:rsid w:val="00B8504E"/>
    <w:rsid w:val="00B91D9C"/>
    <w:rsid w:val="00B922F1"/>
    <w:rsid w:val="00B934FC"/>
    <w:rsid w:val="00B951FA"/>
    <w:rsid w:val="00B95A98"/>
    <w:rsid w:val="00B970C5"/>
    <w:rsid w:val="00B97B16"/>
    <w:rsid w:val="00BA0B6D"/>
    <w:rsid w:val="00BA1C4D"/>
    <w:rsid w:val="00BA35D2"/>
    <w:rsid w:val="00BA39D3"/>
    <w:rsid w:val="00BA5285"/>
    <w:rsid w:val="00BA612E"/>
    <w:rsid w:val="00BB1818"/>
    <w:rsid w:val="00BB361A"/>
    <w:rsid w:val="00BB56C9"/>
    <w:rsid w:val="00BC1C98"/>
    <w:rsid w:val="00BC3264"/>
    <w:rsid w:val="00BC483D"/>
    <w:rsid w:val="00BD16F3"/>
    <w:rsid w:val="00BD1C31"/>
    <w:rsid w:val="00BD2281"/>
    <w:rsid w:val="00BD2AE8"/>
    <w:rsid w:val="00BD350A"/>
    <w:rsid w:val="00BD5C60"/>
    <w:rsid w:val="00BE1322"/>
    <w:rsid w:val="00BE6293"/>
    <w:rsid w:val="00BF4502"/>
    <w:rsid w:val="00BF5118"/>
    <w:rsid w:val="00BF5252"/>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61A9"/>
    <w:rsid w:val="00C21A20"/>
    <w:rsid w:val="00C21FF4"/>
    <w:rsid w:val="00C30084"/>
    <w:rsid w:val="00C30D7A"/>
    <w:rsid w:val="00C32620"/>
    <w:rsid w:val="00C332F7"/>
    <w:rsid w:val="00C354E2"/>
    <w:rsid w:val="00C36DB2"/>
    <w:rsid w:val="00C37478"/>
    <w:rsid w:val="00C41854"/>
    <w:rsid w:val="00C44688"/>
    <w:rsid w:val="00C50230"/>
    <w:rsid w:val="00C50A59"/>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80F10"/>
    <w:rsid w:val="00C83A02"/>
    <w:rsid w:val="00C84EF3"/>
    <w:rsid w:val="00C918A9"/>
    <w:rsid w:val="00C92664"/>
    <w:rsid w:val="00C94FD7"/>
    <w:rsid w:val="00C95AB2"/>
    <w:rsid w:val="00C9691F"/>
    <w:rsid w:val="00CA03CA"/>
    <w:rsid w:val="00CA1613"/>
    <w:rsid w:val="00CA4831"/>
    <w:rsid w:val="00CA4A89"/>
    <w:rsid w:val="00CB5DA2"/>
    <w:rsid w:val="00CB6352"/>
    <w:rsid w:val="00CB6BB2"/>
    <w:rsid w:val="00CB743D"/>
    <w:rsid w:val="00CC2A51"/>
    <w:rsid w:val="00CC2AE6"/>
    <w:rsid w:val="00CC5F46"/>
    <w:rsid w:val="00CC7CE8"/>
    <w:rsid w:val="00CC7E3E"/>
    <w:rsid w:val="00CD225D"/>
    <w:rsid w:val="00CD4449"/>
    <w:rsid w:val="00CD766C"/>
    <w:rsid w:val="00CE4B83"/>
    <w:rsid w:val="00CE6B67"/>
    <w:rsid w:val="00CE75DB"/>
    <w:rsid w:val="00CF03FB"/>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4F8D"/>
    <w:rsid w:val="00D26BE6"/>
    <w:rsid w:val="00D318DD"/>
    <w:rsid w:val="00D32FE6"/>
    <w:rsid w:val="00D33FAE"/>
    <w:rsid w:val="00D35720"/>
    <w:rsid w:val="00D43DD8"/>
    <w:rsid w:val="00D466BB"/>
    <w:rsid w:val="00D549AD"/>
    <w:rsid w:val="00D5534E"/>
    <w:rsid w:val="00D55D48"/>
    <w:rsid w:val="00D5748B"/>
    <w:rsid w:val="00D57631"/>
    <w:rsid w:val="00D62141"/>
    <w:rsid w:val="00D6740E"/>
    <w:rsid w:val="00D735D7"/>
    <w:rsid w:val="00D739DF"/>
    <w:rsid w:val="00D73D36"/>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A0136"/>
    <w:rsid w:val="00DA0ABB"/>
    <w:rsid w:val="00DA25C6"/>
    <w:rsid w:val="00DA32DE"/>
    <w:rsid w:val="00DA433E"/>
    <w:rsid w:val="00DA7E8F"/>
    <w:rsid w:val="00DB0730"/>
    <w:rsid w:val="00DB1337"/>
    <w:rsid w:val="00DB2D00"/>
    <w:rsid w:val="00DB2DD8"/>
    <w:rsid w:val="00DB33ED"/>
    <w:rsid w:val="00DB390A"/>
    <w:rsid w:val="00DB3B3F"/>
    <w:rsid w:val="00DB3FEA"/>
    <w:rsid w:val="00DB6AE4"/>
    <w:rsid w:val="00DC191B"/>
    <w:rsid w:val="00DC1BA2"/>
    <w:rsid w:val="00DC2C7B"/>
    <w:rsid w:val="00DC520A"/>
    <w:rsid w:val="00DC6256"/>
    <w:rsid w:val="00DC7486"/>
    <w:rsid w:val="00DC750A"/>
    <w:rsid w:val="00DD04E9"/>
    <w:rsid w:val="00DD52AE"/>
    <w:rsid w:val="00DE042E"/>
    <w:rsid w:val="00DE17E7"/>
    <w:rsid w:val="00DE3EDF"/>
    <w:rsid w:val="00DF1389"/>
    <w:rsid w:val="00DF7167"/>
    <w:rsid w:val="00E05C9C"/>
    <w:rsid w:val="00E06F83"/>
    <w:rsid w:val="00E108E9"/>
    <w:rsid w:val="00E10999"/>
    <w:rsid w:val="00E12480"/>
    <w:rsid w:val="00E146BF"/>
    <w:rsid w:val="00E14D21"/>
    <w:rsid w:val="00E17C3A"/>
    <w:rsid w:val="00E20296"/>
    <w:rsid w:val="00E2064C"/>
    <w:rsid w:val="00E20772"/>
    <w:rsid w:val="00E213D5"/>
    <w:rsid w:val="00E2325E"/>
    <w:rsid w:val="00E23553"/>
    <w:rsid w:val="00E23800"/>
    <w:rsid w:val="00E264E6"/>
    <w:rsid w:val="00E2658B"/>
    <w:rsid w:val="00E26D75"/>
    <w:rsid w:val="00E3177C"/>
    <w:rsid w:val="00E32618"/>
    <w:rsid w:val="00E35EA1"/>
    <w:rsid w:val="00E36063"/>
    <w:rsid w:val="00E37C12"/>
    <w:rsid w:val="00E37D78"/>
    <w:rsid w:val="00E4114E"/>
    <w:rsid w:val="00E411DD"/>
    <w:rsid w:val="00E42167"/>
    <w:rsid w:val="00E47B9B"/>
    <w:rsid w:val="00E510B0"/>
    <w:rsid w:val="00E5123B"/>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B7"/>
    <w:rsid w:val="00E97917"/>
    <w:rsid w:val="00E97D83"/>
    <w:rsid w:val="00EA0558"/>
    <w:rsid w:val="00EA2B8A"/>
    <w:rsid w:val="00EA3627"/>
    <w:rsid w:val="00EA7141"/>
    <w:rsid w:val="00EB0214"/>
    <w:rsid w:val="00EB1A0B"/>
    <w:rsid w:val="00EB5A36"/>
    <w:rsid w:val="00EC108C"/>
    <w:rsid w:val="00EC45B0"/>
    <w:rsid w:val="00EC4830"/>
    <w:rsid w:val="00EC4C7D"/>
    <w:rsid w:val="00EC707F"/>
    <w:rsid w:val="00ED0F50"/>
    <w:rsid w:val="00ED1286"/>
    <w:rsid w:val="00ED2D02"/>
    <w:rsid w:val="00ED63A5"/>
    <w:rsid w:val="00ED77AD"/>
    <w:rsid w:val="00ED781B"/>
    <w:rsid w:val="00ED7BE5"/>
    <w:rsid w:val="00EE38A2"/>
    <w:rsid w:val="00EE5AE0"/>
    <w:rsid w:val="00EE788E"/>
    <w:rsid w:val="00EF0ADE"/>
    <w:rsid w:val="00EF3DFB"/>
    <w:rsid w:val="00EF65D5"/>
    <w:rsid w:val="00EF6EC6"/>
    <w:rsid w:val="00F00400"/>
    <w:rsid w:val="00F0156D"/>
    <w:rsid w:val="00F018D3"/>
    <w:rsid w:val="00F02785"/>
    <w:rsid w:val="00F02E8F"/>
    <w:rsid w:val="00F05324"/>
    <w:rsid w:val="00F06AE2"/>
    <w:rsid w:val="00F1153F"/>
    <w:rsid w:val="00F12270"/>
    <w:rsid w:val="00F131F4"/>
    <w:rsid w:val="00F13E3F"/>
    <w:rsid w:val="00F14548"/>
    <w:rsid w:val="00F1793D"/>
    <w:rsid w:val="00F17A3D"/>
    <w:rsid w:val="00F201E1"/>
    <w:rsid w:val="00F21602"/>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085D"/>
    <w:rsid w:val="00F51E42"/>
    <w:rsid w:val="00F523D6"/>
    <w:rsid w:val="00F52C30"/>
    <w:rsid w:val="00F54CB3"/>
    <w:rsid w:val="00F56C05"/>
    <w:rsid w:val="00F57B7A"/>
    <w:rsid w:val="00F616FF"/>
    <w:rsid w:val="00F6473E"/>
    <w:rsid w:val="00F64AFB"/>
    <w:rsid w:val="00F665E2"/>
    <w:rsid w:val="00F712D8"/>
    <w:rsid w:val="00F72AFD"/>
    <w:rsid w:val="00F762B6"/>
    <w:rsid w:val="00F824AA"/>
    <w:rsid w:val="00F85553"/>
    <w:rsid w:val="00F86BB8"/>
    <w:rsid w:val="00F90C8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6819"/>
    <w:rsid w:val="00FE7076"/>
    <w:rsid w:val="00FE7CE4"/>
    <w:rsid w:val="00FF22A1"/>
    <w:rsid w:val="00FF2A4F"/>
    <w:rsid w:val="00FF2AC2"/>
    <w:rsid w:val="00FF2D36"/>
    <w:rsid w:val="00FF4AE1"/>
    <w:rsid w:val="00FF4EA7"/>
    <w:rsid w:val="00FF5C81"/>
    <w:rsid w:val="00FF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5957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8A"/>
    <w:pPr>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link w:val="Footer"/>
    <w:uiPriority w:val="99"/>
    <w:rsid w:val="00C00476"/>
    <w:rPr>
      <w:rFonts w:ascii="Arial" w:hAnsi="Arial" w:cs="Arial"/>
      <w:sz w:val="20"/>
      <w:szCs w:val="20"/>
    </w:rPr>
  </w:style>
  <w:style w:type="character" w:styleId="Hyperlink">
    <w:name w:val="Hyperlink"/>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link w:val="Heading1"/>
    <w:rsid w:val="00C06F76"/>
    <w:rPr>
      <w:rFonts w:cs="Tahoma"/>
      <w:color w:val="244061"/>
      <w:sz w:val="32"/>
      <w:szCs w:val="40"/>
      <w14:shadow w14:blurRad="50800" w14:dist="38100" w14:dir="2700000" w14:sx="100000" w14:sy="100000" w14:kx="0" w14:ky="0" w14:algn="tl">
        <w14:srgbClr w14:val="000000">
          <w14:alpha w14:val="60000"/>
        </w14:srgbClr>
      </w14:shadow>
    </w:rPr>
  </w:style>
  <w:style w:type="character" w:styleId="Strong">
    <w:name w:val="Strong"/>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link w:val="FootnoteText"/>
    <w:rsid w:val="00247004"/>
    <w:rPr>
      <w:rFonts w:ascii="Arial" w:hAnsi="Arial" w:cs="Arial"/>
    </w:rPr>
  </w:style>
  <w:style w:type="character" w:styleId="FootnoteReference">
    <w:name w:val="footnote reference"/>
    <w:unhideWhenUsed/>
    <w:rsid w:val="00247004"/>
    <w:rPr>
      <w:vertAlign w:val="superscript"/>
    </w:rPr>
  </w:style>
  <w:style w:type="paragraph" w:customStyle="1" w:styleId="Default">
    <w:name w:val="Default"/>
    <w:rsid w:val="00504B91"/>
    <w:pPr>
      <w:autoSpaceDE w:val="0"/>
      <w:autoSpaceDN w:val="0"/>
      <w:adjustRightInd w:val="0"/>
    </w:pPr>
    <w:rPr>
      <w:color w:val="000000"/>
      <w:sz w:val="24"/>
      <w:szCs w:val="24"/>
    </w:rPr>
  </w:style>
  <w:style w:type="paragraph" w:styleId="Revision">
    <w:name w:val="Revision"/>
    <w:hidden/>
    <w:uiPriority w:val="99"/>
    <w:semiHidden/>
    <w:rsid w:val="003916DB"/>
    <w:rPr>
      <w:rFonts w:ascii="Arial" w:hAnsi="Arial" w:cs="Arial"/>
      <w:color w:val="000000"/>
      <w:sz w:val="24"/>
      <w:szCs w:val="24"/>
    </w:rPr>
  </w:style>
  <w:style w:type="character" w:styleId="Emphasis">
    <w:name w:val="Emphasis"/>
    <w:uiPriority w:val="20"/>
    <w:qFormat/>
    <w:rsid w:val="00967288"/>
    <w:rPr>
      <w:i/>
      <w:iCs/>
    </w:rPr>
  </w:style>
  <w:style w:type="table" w:styleId="LightShading-Accent2">
    <w:name w:val="Light Shading Accent 2"/>
    <w:basedOn w:val="TableNormal"/>
    <w:uiPriority w:val="60"/>
    <w:rsid w:val="00F32B91"/>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1">
    <w:name w:val="Light List1"/>
    <w:basedOn w:val="TableNormal"/>
    <w:uiPriority w:val="61"/>
    <w:rsid w:val="00F32B9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uiPriority w:val="99"/>
    <w:semiHidden/>
    <w:unhideWhenUsed/>
    <w:rsid w:val="0018370E"/>
    <w:rPr>
      <w:color w:val="800080"/>
      <w:u w:val="single"/>
    </w:rPr>
  </w:style>
  <w:style w:type="character" w:styleId="PlaceholderText">
    <w:name w:val="Placeholder Tex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Cambria" w:hAnsi="Cambria" w:cs="Times New Roman"/>
      <w:b/>
      <w:bCs/>
      <w:color w:val="365F91"/>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Calibri" w:hAnsi="Calibr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Cambria" w:hAnsi="Cambria" w:cs="Times New Roman"/>
      <w:i/>
      <w:color w:val="4F81BD"/>
      <w:spacing w:val="15"/>
    </w:rPr>
  </w:style>
  <w:style w:type="character" w:customStyle="1" w:styleId="SubtitleChar">
    <w:name w:val="Subtitle Char"/>
    <w:link w:val="Subtitle"/>
    <w:uiPriority w:val="11"/>
    <w:rsid w:val="008D4860"/>
    <w:rPr>
      <w:rFonts w:ascii="Cambria" w:eastAsia="Times New Roman" w:hAnsi="Cambria" w:cs="Times New Roman"/>
      <w:i/>
      <w:iCs/>
      <w:color w:val="4F81BD"/>
      <w:spacing w:val="15"/>
      <w:sz w:val="24"/>
      <w:szCs w:val="24"/>
    </w:rPr>
  </w:style>
  <w:style w:type="table" w:styleId="TableGrid">
    <w:name w:val="Table Grid"/>
    <w:basedOn w:val="TableNormal"/>
    <w:uiPriority w:val="59"/>
    <w:rsid w:val="00DB2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Section">
    <w:name w:val="Section"/>
    <w:basedOn w:val="Normal"/>
    <w:next w:val="ListNumber"/>
    <w:rsid w:val="00A5699C"/>
    <w:pPr>
      <w:numPr>
        <w:numId w:val="26"/>
      </w:numPr>
      <w:tabs>
        <w:tab w:val="left" w:pos="1080"/>
      </w:tabs>
      <w:autoSpaceDE/>
      <w:autoSpaceDN/>
      <w:adjustRightInd/>
      <w:spacing w:after="120"/>
    </w:pPr>
    <w:rPr>
      <w:rFonts w:cs="Times New Roman"/>
      <w:b/>
      <w:color w:val="auto"/>
    </w:rPr>
  </w:style>
  <w:style w:type="paragraph" w:customStyle="1" w:styleId="Requirement">
    <w:name w:val="Requirement"/>
    <w:basedOn w:val="List2"/>
    <w:rsid w:val="00A5699C"/>
    <w:pPr>
      <w:numPr>
        <w:numId w:val="29"/>
      </w:numPr>
      <w:autoSpaceDE/>
      <w:autoSpaceDN/>
      <w:adjustRightInd/>
      <w:spacing w:after="120"/>
      <w:contextualSpacing w:val="0"/>
    </w:pPr>
    <w:rPr>
      <w:rFonts w:ascii="Times New Roman" w:hAnsi="Times New Roman" w:cs="Times New Roman"/>
      <w:color w:val="auto"/>
    </w:rPr>
  </w:style>
  <w:style w:type="paragraph" w:styleId="ListNumber">
    <w:name w:val="List Number"/>
    <w:basedOn w:val="Normal"/>
    <w:rsid w:val="00A5699C"/>
    <w:pPr>
      <w:numPr>
        <w:numId w:val="25"/>
      </w:numPr>
      <w:tabs>
        <w:tab w:val="left" w:pos="2160"/>
      </w:tabs>
      <w:autoSpaceDE/>
      <w:autoSpaceDN/>
      <w:adjustRightInd/>
      <w:spacing w:after="120"/>
    </w:pPr>
    <w:rPr>
      <w:rFonts w:ascii="Times New Roman" w:hAnsi="Times New Roman" w:cs="Times New Roman"/>
      <w:color w:val="auto"/>
    </w:rPr>
  </w:style>
  <w:style w:type="paragraph" w:customStyle="1" w:styleId="Measure">
    <w:name w:val="Measure"/>
    <w:basedOn w:val="Requirement"/>
    <w:rsid w:val="00A5699C"/>
    <w:pPr>
      <w:numPr>
        <w:numId w:val="28"/>
      </w:numPr>
      <w:tabs>
        <w:tab w:val="left" w:pos="936"/>
      </w:tabs>
    </w:pPr>
  </w:style>
  <w:style w:type="paragraph" w:customStyle="1" w:styleId="BodyIndent2">
    <w:name w:val="Body Indent 2"/>
    <w:basedOn w:val="Normal"/>
    <w:rsid w:val="00A5699C"/>
    <w:pPr>
      <w:autoSpaceDE/>
      <w:autoSpaceDN/>
      <w:adjustRightInd/>
      <w:spacing w:after="120"/>
      <w:ind w:left="1440"/>
    </w:pPr>
    <w:rPr>
      <w:rFonts w:ascii="Times New Roman" w:hAnsi="Times New Roman" w:cs="Times New Roman"/>
      <w:color w:val="auto"/>
    </w:rPr>
  </w:style>
  <w:style w:type="paragraph" w:styleId="List2">
    <w:name w:val="List 2"/>
    <w:basedOn w:val="Normal"/>
    <w:uiPriority w:val="99"/>
    <w:semiHidden/>
    <w:unhideWhenUsed/>
    <w:rsid w:val="00A5699C"/>
    <w:pPr>
      <w:ind w:left="720" w:hanging="360"/>
      <w:contextualSpacing/>
    </w:pPr>
  </w:style>
  <w:style w:type="character" w:customStyle="1" w:styleId="term1">
    <w:name w:val="term1"/>
    <w:rsid w:val="004D737E"/>
    <w:rPr>
      <w:b/>
      <w:bCs/>
    </w:rPr>
  </w:style>
  <w:style w:type="character" w:customStyle="1" w:styleId="pmterms21">
    <w:name w:val="pmterms21"/>
    <w:rsid w:val="004D737E"/>
    <w:rPr>
      <w:b/>
      <w:bCs/>
      <w:i w:val="0"/>
      <w:iCs w:val="0"/>
      <w:color w:val="000000"/>
    </w:rPr>
  </w:style>
  <w:style w:type="character" w:customStyle="1" w:styleId="pmterms11">
    <w:name w:val="pmterms11"/>
    <w:rsid w:val="004D737E"/>
    <w:rPr>
      <w:b/>
      <w:bCs/>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23443765">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FAC-013-2</Number>
    <Date xmlns="078344ff-8d50-4bff-90aa-a5f449462ba4">2012-10-13T04:00:00+00:00</Dat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52D32-AA60-424C-994B-C42E4F87CFD3}"/>
</file>

<file path=customXml/itemProps2.xml><?xml version="1.0" encoding="utf-8"?>
<ds:datastoreItem xmlns:ds="http://schemas.openxmlformats.org/officeDocument/2006/customXml" ds:itemID="{85D5CDEC-B747-4B97-A920-1275846FA5B9}"/>
</file>

<file path=customXml/itemProps3.xml><?xml version="1.0" encoding="utf-8"?>
<ds:datastoreItem xmlns:ds="http://schemas.openxmlformats.org/officeDocument/2006/customXml" ds:itemID="{F64EE9B1-D25F-4BB7-9022-7CD655587912}"/>
</file>

<file path=customXml/itemProps4.xml><?xml version="1.0" encoding="utf-8"?>
<ds:datastoreItem xmlns:ds="http://schemas.openxmlformats.org/officeDocument/2006/customXml" ds:itemID="{07AB181B-61F0-416E-BD52-E7218AC512A2}"/>
</file>

<file path=customXml/itemProps5.xml><?xml version="1.0" encoding="utf-8"?>
<ds:datastoreItem xmlns:ds="http://schemas.openxmlformats.org/officeDocument/2006/customXml" ds:itemID="{DDFEED0F-6C57-4B60-926A-EDAEBBEA5D69}"/>
</file>

<file path=customXml/itemProps6.xml><?xml version="1.0" encoding="utf-8"?>
<ds:datastoreItem xmlns:ds="http://schemas.openxmlformats.org/officeDocument/2006/customXml" ds:itemID="{4544DB28-CD79-4C5A-9A4E-347F550F1658}"/>
</file>

<file path=docProps/app.xml><?xml version="1.0" encoding="utf-8"?>
<Properties xmlns="http://schemas.openxmlformats.org/officeDocument/2006/extended-properties" xmlns:vt="http://schemas.openxmlformats.org/officeDocument/2006/docPropsVTypes">
  <Template>Normal</Template>
  <TotalTime>0</TotalTime>
  <Pages>17</Pages>
  <Words>4496</Words>
  <Characters>27355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Assessment of Transfer Capability for the Near-Term Transmission Planning Horizon</vt:lpstr>
    </vt:vector>
  </TitlesOfParts>
  <LinksUpToDate>false</LinksUpToDate>
  <CharactersWithSpaces>31788</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Transfer Capability for the Near-Term Transmission Planning Horizon</dc:title>
  <dc:subject/>
  <dc:creator/>
  <cp:keywords/>
  <cp:lastModifiedBy/>
  <cp:revision>1</cp:revision>
  <dcterms:created xsi:type="dcterms:W3CDTF">2014-06-04T20:32:00Z</dcterms:created>
  <dcterms:modified xsi:type="dcterms:W3CDTF">2014-06-04T20:32:00Z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NERCASSETID-406-45</vt:lpwstr>
  </property>
  <property fmtid="{D5CDD505-2E9C-101B-9397-08002B2CF9AE}" pid="3" name="_dlc_DocIdItemGuid">
    <vt:lpwstr>2613087a-1300-4c49-80d0-9f588316dd31</vt:lpwstr>
  </property>
  <property fmtid="{D5CDD505-2E9C-101B-9397-08002B2CF9AE}" pid="4" name="_dlc_DocIdUrl">
    <vt:lpwstr>http://www.nerc.com/pa/comp/_layouts/DocIdRedir.aspx?ID=NERCASSETID-406-45, NERCASSETID-406-45</vt:lpwstr>
  </property>
  <property fmtid="{D5CDD505-2E9C-101B-9397-08002B2CF9AE}" pid="5" name="xd_Signature">
    <vt:lpwstr/>
  </property>
  <property fmtid="{D5CDD505-2E9C-101B-9397-08002B2CF9AE}" pid="6" name="Order">
    <vt:lpwstr>4500.00000000000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